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47277">
      <w:pPr>
        <w:jc w:val="center"/>
        <w:rPr>
          <w:rFonts w:eastAsia="黑体"/>
          <w:bCs/>
          <w:color w:val="000000"/>
          <w:sz w:val="36"/>
          <w:szCs w:val="36"/>
        </w:rPr>
      </w:pPr>
      <w:r>
        <w:rPr>
          <w:rFonts w:eastAsia="黑体"/>
          <w:bCs/>
          <w:color w:val="000000"/>
          <w:sz w:val="36"/>
          <w:szCs w:val="36"/>
        </w:rPr>
        <w:t>转基因植物及其产品成分检测</w:t>
      </w:r>
    </w:p>
    <w:p w14:paraId="25DF6467">
      <w:pPr>
        <w:jc w:val="center"/>
        <w:rPr>
          <w:rFonts w:eastAsia="黑体"/>
          <w:bCs/>
          <w:color w:val="000000"/>
          <w:sz w:val="36"/>
          <w:szCs w:val="36"/>
        </w:rPr>
      </w:pPr>
      <w:r>
        <w:rPr>
          <w:rFonts w:eastAsia="黑体"/>
          <w:bCs/>
          <w:color w:val="000000"/>
          <w:sz w:val="36"/>
          <w:szCs w:val="36"/>
        </w:rPr>
        <w:t>抗虫耐除草剂玉米</w:t>
      </w:r>
      <w:r>
        <w:rPr>
          <w:rFonts w:hint="eastAsia" w:eastAsia="黑体"/>
          <w:bCs/>
          <w:color w:val="000000"/>
          <w:sz w:val="36"/>
          <w:szCs w:val="36"/>
          <w:lang w:eastAsia="zh-CN"/>
        </w:rPr>
        <w:t>QY2569-42</w:t>
      </w:r>
      <w:r>
        <w:rPr>
          <w:rFonts w:eastAsia="黑体"/>
          <w:bCs/>
          <w:color w:val="000000"/>
          <w:sz w:val="36"/>
          <w:szCs w:val="36"/>
        </w:rPr>
        <w:t>转化体特异性</w:t>
      </w:r>
    </w:p>
    <w:p w14:paraId="4F53C29D">
      <w:pPr>
        <w:jc w:val="center"/>
        <w:rPr>
          <w:rFonts w:eastAsia="黑体"/>
          <w:bCs/>
          <w:color w:val="000000"/>
          <w:sz w:val="36"/>
          <w:szCs w:val="36"/>
        </w:rPr>
        <w:sectPr>
          <w:pgSz w:w="11906" w:h="16838"/>
          <w:pgMar w:top="1440" w:right="1800" w:bottom="1440" w:left="1800" w:header="851" w:footer="992" w:gutter="0"/>
          <w:cols w:space="425" w:num="1"/>
          <w:docGrid w:type="lines" w:linePitch="312" w:charSpace="0"/>
        </w:sectPr>
      </w:pPr>
      <w:r>
        <w:rPr>
          <w:rFonts w:eastAsia="黑体"/>
          <w:bCs/>
          <w:color w:val="000000"/>
          <w:sz w:val="36"/>
          <w:szCs w:val="36"/>
        </w:rPr>
        <w:t>PCR方法</w:t>
      </w:r>
      <w:r>
        <w:rPr>
          <w:rFonts w:hint="eastAsia" w:eastAsia="黑体"/>
          <w:bCs/>
          <w:color w:val="000000"/>
          <w:sz w:val="36"/>
          <w:szCs w:val="36"/>
          <w:lang w:eastAsia="zh-CN"/>
        </w:rPr>
        <w:t>征求意见稿</w:t>
      </w:r>
      <w:r>
        <w:rPr>
          <w:rFonts w:eastAsia="黑体"/>
          <w:bCs/>
          <w:color w:val="000000"/>
          <w:sz w:val="36"/>
          <w:szCs w:val="36"/>
        </w:rPr>
        <w:t>编制说明</w:t>
      </w:r>
    </w:p>
    <w:p w14:paraId="5C4B6E31">
      <w:pPr>
        <w:rPr>
          <w:rFonts w:ascii="Times New Roman" w:hAnsi="Times New Roman" w:cs="Times New Roman"/>
          <w:b/>
          <w:bCs/>
          <w:sz w:val="36"/>
          <w:szCs w:val="36"/>
        </w:rPr>
      </w:pPr>
      <w:r>
        <w:rPr>
          <w:rFonts w:ascii="Times New Roman" w:hAnsi="Times New Roman" w:cs="Times New Roman"/>
          <w:b/>
          <w:bCs/>
          <w:sz w:val="36"/>
          <w:szCs w:val="36"/>
        </w:rPr>
        <w:br w:type="page"/>
      </w:r>
    </w:p>
    <w:p w14:paraId="20E1D0BE">
      <w:pPr>
        <w:rPr>
          <w:rFonts w:ascii="Times New Roman" w:hAnsi="Times New Roman" w:cs="Times New Roman"/>
          <w:b/>
          <w:bCs/>
          <w:sz w:val="36"/>
          <w:szCs w:val="36"/>
        </w:rPr>
        <w:sectPr>
          <w:footerReference r:id="rId3" w:type="default"/>
          <w:pgSz w:w="11906" w:h="16838"/>
          <w:pgMar w:top="1418" w:right="1418" w:bottom="1418" w:left="1701" w:header="851" w:footer="992" w:gutter="0"/>
          <w:pgNumType w:fmt="upperRoman" w:start="1"/>
          <w:cols w:space="720" w:num="1"/>
          <w:docGrid w:type="lines" w:linePitch="312" w:charSpace="0"/>
        </w:sectPr>
      </w:pPr>
    </w:p>
    <w:sdt>
      <w:sdtPr>
        <w:rPr>
          <w:rFonts w:ascii="宋体" w:hAnsi="宋体" w:eastAsia="宋体" w:cs="Calibri"/>
          <w:kern w:val="2"/>
          <w:sz w:val="21"/>
          <w:szCs w:val="22"/>
          <w:lang w:val="en-US" w:eastAsia="zh-CN" w:bidi="ar-SA"/>
        </w:rPr>
        <w:id w:val="147473110"/>
        <w15:color w:val="DBDBDB"/>
        <w:docPartObj>
          <w:docPartGallery w:val="Table of Contents"/>
          <w:docPartUnique/>
        </w:docPartObj>
      </w:sdtPr>
      <w:sdtEndPr>
        <w:rPr>
          <w:rFonts w:ascii="宋体" w:hAnsi="宋体" w:eastAsia="宋体" w:cs="Calibri"/>
          <w:b/>
          <w:kern w:val="2"/>
          <w:sz w:val="21"/>
          <w:szCs w:val="22"/>
          <w:lang w:val="en-US" w:eastAsia="zh-CN" w:bidi="ar-SA"/>
        </w:rPr>
      </w:sdtEndPr>
      <w:sdtContent>
        <w:p w14:paraId="34FD7B6B">
          <w:pPr>
            <w:spacing w:before="0" w:beforeLines="0" w:after="0" w:afterLines="0" w:line="240" w:lineRule="auto"/>
            <w:ind w:left="0" w:leftChars="0" w:right="0" w:rightChars="0" w:firstLine="0" w:firstLineChars="0"/>
            <w:jc w:val="center"/>
            <w:rPr>
              <w:rFonts w:hint="eastAsia" w:ascii="黑体" w:hAnsi="黑体" w:eastAsia="黑体" w:cs="黑体"/>
              <w:sz w:val="28"/>
              <w:szCs w:val="32"/>
            </w:rPr>
          </w:pPr>
          <w:r>
            <w:rPr>
              <w:rFonts w:hint="eastAsia" w:ascii="黑体" w:hAnsi="黑体" w:eastAsia="黑体" w:cs="黑体"/>
              <w:sz w:val="28"/>
              <w:szCs w:val="32"/>
            </w:rPr>
            <w:t>目</w:t>
          </w:r>
          <w:r>
            <w:rPr>
              <w:rFonts w:hint="eastAsia" w:ascii="黑体" w:hAnsi="黑体" w:eastAsia="黑体" w:cs="黑体"/>
              <w:sz w:val="28"/>
              <w:szCs w:val="32"/>
              <w:lang w:val="en-US" w:eastAsia="zh-CN"/>
            </w:rPr>
            <w:t xml:space="preserve">  </w:t>
          </w:r>
          <w:r>
            <w:rPr>
              <w:rFonts w:hint="eastAsia" w:ascii="黑体" w:hAnsi="黑体" w:eastAsia="黑体" w:cs="黑体"/>
              <w:sz w:val="28"/>
              <w:szCs w:val="32"/>
            </w:rPr>
            <w:t>录</w:t>
          </w:r>
        </w:p>
        <w:p w14:paraId="3BC2B999">
          <w:pPr>
            <w:pStyle w:val="12"/>
            <w:tabs>
              <w:tab w:val="right" w:leader="dot" w:pos="8390"/>
            </w:tabs>
            <w:rPr>
              <w:rFonts w:hint="default" w:ascii="Times New Roman" w:hAnsi="Times New Roman" w:eastAsia="宋体" w:cs="Times New Roman"/>
              <w:b/>
              <w:bCs/>
            </w:rPr>
          </w:pPr>
          <w:r>
            <w:rPr>
              <w:b/>
              <w:sz w:val="21"/>
              <w:szCs w:val="21"/>
            </w:rPr>
            <w:fldChar w:fldCharType="begin"/>
          </w:r>
          <w:r>
            <w:rPr>
              <w:b/>
              <w:sz w:val="21"/>
              <w:szCs w:val="21"/>
            </w:rPr>
            <w:instrText xml:space="preserve">TOC \o "1-2" \h \u </w:instrText>
          </w:r>
          <w:r>
            <w:rPr>
              <w:b/>
              <w:sz w:val="21"/>
              <w:szCs w:val="21"/>
            </w:rPr>
            <w:fldChar w:fldCharType="separate"/>
          </w: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_Toc27457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eastAsia="zh-CN"/>
            </w:rPr>
            <w:t>一、工作简况</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_Toc27457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2</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3480152A">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_Toc17351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highlight w:val="none"/>
            </w:rPr>
            <w:t>（一）标准制定背景</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_Toc17351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7E08FAC3">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_Toc5936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highlight w:val="none"/>
            </w:rPr>
            <w:t>（二）任务来源</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_Toc5936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0769CD4B">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_Toc8116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highlight w:val="none"/>
              <w:lang w:val="en-US" w:eastAsia="zh-CN"/>
            </w:rPr>
            <w:t>（三）</w:t>
          </w:r>
          <w:r>
            <w:rPr>
              <w:rFonts w:hint="default" w:ascii="Times New Roman" w:hAnsi="Times New Roman" w:eastAsia="宋体" w:cs="Times New Roman"/>
              <w:b w:val="0"/>
              <w:bCs w:val="0"/>
              <w:highlight w:val="none"/>
            </w:rPr>
            <w:t>起草单位情况</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_Toc8116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003957C2">
          <w:pPr>
            <w:pStyle w:val="13"/>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_Toc28889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highlight w:val="none"/>
              <w:lang w:val="en-US" w:eastAsia="zh-CN"/>
            </w:rPr>
            <w:t>（四）起草过程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_Toc28889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5</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31D8EFA4">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_Toc9356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highlight w:val="none"/>
            </w:rPr>
            <w:t>二、编制原则、标准的主要内容、技术参数的确定</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_Toc9356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5F6D724B">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_Toc7810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rPr>
            <w:t>（一）编制原则</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_Toc7810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6</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0DA45CAF">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_Toc5331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rPr>
            <w:t>（</w:t>
          </w:r>
          <w:r>
            <w:rPr>
              <w:rFonts w:hint="default" w:ascii="Times New Roman" w:hAnsi="Times New Roman" w:eastAsia="宋体" w:cs="Times New Roman"/>
              <w:b w:val="0"/>
              <w:bCs w:val="0"/>
              <w:lang w:val="en-US" w:eastAsia="zh-CN"/>
            </w:rPr>
            <w:t>二</w:t>
          </w:r>
          <w:r>
            <w:rPr>
              <w:rFonts w:hint="default" w:ascii="Times New Roman" w:hAnsi="Times New Roman" w:eastAsia="宋体" w:cs="Times New Roman"/>
              <w:b w:val="0"/>
              <w:bCs w:val="0"/>
            </w:rPr>
            <w:t>）抗虫耐除草剂玉米</w:t>
          </w:r>
          <w:r>
            <w:rPr>
              <w:rFonts w:hint="eastAsia" w:cs="Times New Roman"/>
              <w:b w:val="0"/>
              <w:bCs w:val="0"/>
              <w:lang w:eastAsia="zh-CN"/>
            </w:rPr>
            <w:t>QY2569-42</w:t>
          </w:r>
          <w:r>
            <w:rPr>
              <w:rFonts w:hint="default" w:ascii="Times New Roman" w:hAnsi="Times New Roman" w:eastAsia="宋体" w:cs="Times New Roman"/>
              <w:b w:val="0"/>
              <w:bCs w:val="0"/>
            </w:rPr>
            <w:t>背景及方法建立的准备工作</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_Toc5331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7</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205E4374">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_Toc31295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lang w:val="en-US" w:eastAsia="zh-CN"/>
            </w:rPr>
            <w:t>（三）</w:t>
          </w:r>
          <w:r>
            <w:rPr>
              <w:rFonts w:hint="default" w:ascii="Times New Roman" w:hAnsi="Times New Roman" w:eastAsia="宋体" w:cs="Times New Roman"/>
              <w:b w:val="0"/>
              <w:bCs w:val="0"/>
            </w:rPr>
            <w:t>标准的主要内容</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rPr>
            <w:t>技术参数的确定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_Toc31295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68B2F25B">
          <w:pPr>
            <w:pStyle w:val="13"/>
            <w:tabs>
              <w:tab w:val="right" w:leader="dot" w:pos="8390"/>
            </w:tabs>
            <w:ind w:firstLine="630" w:firstLineChars="300"/>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_Toc23393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lang w:val="en-US" w:eastAsia="zh-CN"/>
            </w:rPr>
            <w:t>方法一、</w:t>
          </w:r>
          <w:r>
            <w:rPr>
              <w:rFonts w:hint="default" w:ascii="Times New Roman" w:hAnsi="Times New Roman" w:eastAsia="宋体" w:cs="Times New Roman"/>
              <w:b w:val="0"/>
              <w:bCs w:val="0"/>
              <w:lang w:eastAsia="zh-CN"/>
            </w:rPr>
            <w:t>抗虫耐除草剂玉米</w:t>
          </w:r>
          <w:r>
            <w:rPr>
              <w:rFonts w:hint="eastAsia" w:cs="Times New Roman"/>
              <w:b w:val="0"/>
              <w:bCs w:val="0"/>
              <w:lang w:eastAsia="zh-CN"/>
            </w:rPr>
            <w:t>QY2569-42</w:t>
          </w:r>
          <w:r>
            <w:rPr>
              <w:rFonts w:hint="default" w:ascii="Times New Roman" w:hAnsi="Times New Roman" w:eastAsia="宋体" w:cs="Times New Roman"/>
              <w:b w:val="0"/>
              <w:bCs w:val="0"/>
            </w:rPr>
            <w:t>转化体特异性实时荧光PCR定性检测方法建立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_Toc23393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67DB5A6B">
          <w:pPr>
            <w:pStyle w:val="13"/>
            <w:tabs>
              <w:tab w:val="right" w:leader="dot" w:pos="8390"/>
            </w:tabs>
            <w:ind w:firstLine="630" w:firstLineChars="300"/>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_Toc29819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lang w:val="en-US" w:eastAsia="zh-CN"/>
            </w:rPr>
            <w:t>方法二、</w:t>
          </w:r>
          <w:r>
            <w:rPr>
              <w:rFonts w:hint="default" w:ascii="Times New Roman" w:hAnsi="Times New Roman" w:eastAsia="宋体" w:cs="Times New Roman"/>
              <w:b w:val="0"/>
              <w:bCs w:val="0"/>
            </w:rPr>
            <w:t>抗虫耐除草剂玉米</w:t>
          </w:r>
          <w:r>
            <w:rPr>
              <w:rFonts w:hint="eastAsia" w:cs="Times New Roman"/>
              <w:b w:val="0"/>
              <w:bCs w:val="0"/>
              <w:lang w:eastAsia="zh-CN"/>
            </w:rPr>
            <w:t>QY2569-42</w:t>
          </w:r>
          <w:r>
            <w:rPr>
              <w:rFonts w:hint="default" w:ascii="Times New Roman" w:hAnsi="Times New Roman" w:eastAsia="宋体" w:cs="Times New Roman"/>
              <w:b w:val="0"/>
              <w:bCs w:val="0"/>
            </w:rPr>
            <w:t>转化体特异性实时荧光PCR定量检测方法建立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_Toc29819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02801C7F">
          <w:pPr>
            <w:pStyle w:val="13"/>
            <w:tabs>
              <w:tab w:val="right" w:leader="dot" w:pos="8390"/>
            </w:tabs>
            <w:ind w:firstLine="630" w:firstLineChars="300"/>
            <w:rPr>
              <w:rFonts w:hint="default" w:ascii="Times New Roman" w:hAnsi="Times New Roman" w:eastAsia="宋体" w:cs="Times New Roman"/>
              <w:b/>
              <w:bCs/>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_Toc11315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highlight w:val="none"/>
              <w:lang w:val="en-US" w:eastAsia="zh-CN"/>
            </w:rPr>
            <w:t>方法三、</w:t>
          </w:r>
          <w:r>
            <w:rPr>
              <w:rFonts w:hint="default" w:ascii="Times New Roman" w:hAnsi="Times New Roman" w:eastAsia="宋体" w:cs="Times New Roman"/>
              <w:b w:val="0"/>
              <w:bCs w:val="0"/>
              <w:highlight w:val="none"/>
            </w:rPr>
            <w:t>抗虫耐除草剂玉米</w:t>
          </w:r>
          <w:r>
            <w:rPr>
              <w:rFonts w:hint="eastAsia" w:cs="Times New Roman"/>
              <w:b w:val="0"/>
              <w:bCs w:val="0"/>
              <w:highlight w:val="none"/>
              <w:lang w:eastAsia="zh-CN"/>
            </w:rPr>
            <w:t>QY2569-42</w:t>
          </w:r>
          <w:r>
            <w:rPr>
              <w:rFonts w:hint="default" w:ascii="Times New Roman" w:hAnsi="Times New Roman" w:eastAsia="宋体" w:cs="Times New Roman"/>
              <w:b w:val="0"/>
              <w:bCs w:val="0"/>
              <w:highlight w:val="none"/>
            </w:rPr>
            <w:t>转化体特异性普通PCR定性方法建立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_Toc11315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34</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3CB2108A">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_Toc22886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val="en-US" w:eastAsia="zh-CN"/>
            </w:rPr>
            <w:t>三、</w:t>
          </w:r>
          <w:r>
            <w:rPr>
              <w:rFonts w:hint="default" w:ascii="Times New Roman" w:hAnsi="Times New Roman" w:eastAsia="宋体" w:cs="Times New Roman"/>
              <w:b/>
              <w:bCs/>
            </w:rPr>
            <w:t>试验验证的分析、综述报告，技术经济论证，预期的经济效益、社会效益和生态效益</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_Toc22886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41</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1BCEBD31">
          <w:pPr>
            <w:pStyle w:val="13"/>
            <w:tabs>
              <w:tab w:val="right" w:leader="dot" w:pos="8390"/>
            </w:tabs>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_Toc8745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rPr>
            <w:t>（一）实验室间验证及结果统计</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_Toc8745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1C99B652">
          <w:pPr>
            <w:pStyle w:val="13"/>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val="0"/>
              <w:bCs w:val="0"/>
              <w:szCs w:val="21"/>
            </w:rPr>
            <w:fldChar w:fldCharType="begin"/>
          </w:r>
          <w:r>
            <w:rPr>
              <w:rFonts w:hint="default" w:ascii="Times New Roman" w:hAnsi="Times New Roman" w:eastAsia="宋体" w:cs="Times New Roman"/>
              <w:b w:val="0"/>
              <w:bCs w:val="0"/>
              <w:szCs w:val="21"/>
            </w:rPr>
            <w:instrText xml:space="preserve"> HYPERLINK \l _Toc23482 </w:instrText>
          </w:r>
          <w:r>
            <w:rPr>
              <w:rFonts w:hint="default" w:ascii="Times New Roman" w:hAnsi="Times New Roman" w:eastAsia="宋体" w:cs="Times New Roman"/>
              <w:b w:val="0"/>
              <w:bCs w:val="0"/>
              <w:szCs w:val="21"/>
            </w:rPr>
            <w:fldChar w:fldCharType="separate"/>
          </w:r>
          <w:r>
            <w:rPr>
              <w:rFonts w:hint="default" w:ascii="Times New Roman" w:hAnsi="Times New Roman" w:eastAsia="宋体" w:cs="Times New Roman"/>
              <w:b w:val="0"/>
              <w:bCs w:val="0"/>
              <w:lang w:val="en-US" w:eastAsia="zh-CN"/>
            </w:rPr>
            <w:t>（二）预期的经济效益、社会效益和生态效益</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_Toc23482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64</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szCs w:val="21"/>
            </w:rPr>
            <w:fldChar w:fldCharType="end"/>
          </w:r>
        </w:p>
        <w:p w14:paraId="2E10B6AF">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_Toc9384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highlight w:val="none"/>
            </w:rPr>
            <w:t>四、与国际、国外同类标准技术内容的对比情况</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_Toc9384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64</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51A299D0">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_Toc5485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val="en-US" w:eastAsia="zh-CN"/>
            </w:rPr>
            <w:t>五、</w:t>
          </w:r>
          <w:r>
            <w:rPr>
              <w:rFonts w:hint="default" w:ascii="Times New Roman" w:hAnsi="Times New Roman" w:eastAsia="宋体" w:cs="Times New Roman"/>
              <w:b/>
              <w:bCs/>
            </w:rPr>
            <w:t>以国际标准为基础的起草情况，以及是否合规引用或者采用国际国外标准，并说明未采用国际标准的原因</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_Toc5485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64</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37363BD2">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_Toc6945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rPr>
            <w:t>六、与现行标准、法律法规和强制性标准的关系</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_Toc6945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64</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6968B3D9">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_Toc4589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val="en-US" w:eastAsia="zh-CN"/>
            </w:rPr>
            <w:t>七、</w:t>
          </w:r>
          <w:r>
            <w:rPr>
              <w:rFonts w:hint="default" w:ascii="Times New Roman" w:hAnsi="Times New Roman" w:eastAsia="宋体" w:cs="Times New Roman"/>
              <w:b/>
              <w:bCs/>
            </w:rPr>
            <w:t>重大分歧意见的处理经过和依据</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_Toc4589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666717A5">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_Toc9733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highlight w:val="none"/>
              <w:lang w:val="en-US" w:eastAsia="zh-CN"/>
            </w:rPr>
            <w:t>八、</w:t>
          </w:r>
          <w:r>
            <w:rPr>
              <w:rFonts w:hint="default" w:ascii="Times New Roman" w:hAnsi="Times New Roman" w:eastAsia="宋体" w:cs="Times New Roman"/>
              <w:b/>
              <w:bCs/>
              <w:highlight w:val="none"/>
            </w:rPr>
            <w:t>涉及专利的说明</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_Toc9733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7A179104">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_Toc4022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val="en-US" w:eastAsia="zh-CN"/>
            </w:rPr>
            <w:t>九、</w:t>
          </w:r>
          <w:r>
            <w:rPr>
              <w:rFonts w:hint="default" w:ascii="Times New Roman" w:hAnsi="Times New Roman" w:eastAsia="宋体" w:cs="Times New Roman"/>
              <w:b/>
              <w:bCs/>
            </w:rPr>
            <w:t>标准作为强制性或推荐性标准发布的意见及实施建议</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_Toc4022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7064498D">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_Toc29289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val="en-US" w:eastAsia="zh-CN"/>
            </w:rPr>
            <w:t>十、</w:t>
          </w:r>
          <w:r>
            <w:rPr>
              <w:rFonts w:hint="default" w:ascii="Times New Roman" w:hAnsi="Times New Roman" w:eastAsia="宋体" w:cs="Times New Roman"/>
              <w:b/>
              <w:bCs/>
            </w:rPr>
            <w:t>其他应说明的事项</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_Toc29289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373CE9A2">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_Toc30189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lang w:val="en-US" w:eastAsia="zh-CN"/>
            </w:rPr>
            <w:t>十一、</w:t>
          </w:r>
          <w:r>
            <w:rPr>
              <w:rFonts w:hint="default" w:ascii="Times New Roman" w:hAnsi="Times New Roman" w:eastAsia="宋体" w:cs="Times New Roman"/>
              <w:b/>
              <w:bCs/>
            </w:rPr>
            <w:t>参考文献</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_Toc30189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10E2BEBE">
          <w:pPr>
            <w:pStyle w:val="12"/>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_Toc1975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rPr>
            <w:t>十</w:t>
          </w:r>
          <w:r>
            <w:rPr>
              <w:rFonts w:hint="default" w:ascii="Times New Roman" w:hAnsi="Times New Roman" w:eastAsia="宋体" w:cs="Times New Roman"/>
              <w:b/>
              <w:bCs/>
              <w:lang w:val="en-US" w:eastAsia="zh-CN"/>
            </w:rPr>
            <w:t>二</w:t>
          </w:r>
          <w:r>
            <w:rPr>
              <w:rFonts w:hint="default" w:ascii="Times New Roman" w:hAnsi="Times New Roman" w:eastAsia="宋体" w:cs="Times New Roman"/>
              <w:b/>
              <w:bCs/>
            </w:rPr>
            <w:t>、本文相关附件</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_Toc1975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488BDAAA">
          <w:pPr>
            <w:pStyle w:val="13"/>
            <w:tabs>
              <w:tab w:val="right" w:leader="dot" w:pos="8390"/>
            </w:tabs>
            <w:rPr>
              <w:rFonts w:hint="default" w:ascii="Times New Roman" w:hAnsi="Times New Roman" w:eastAsia="宋体" w:cs="Times New Roman"/>
              <w:b/>
              <w:bCs/>
            </w:rPr>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_Toc24520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rPr>
            <w:t>（一）文本验证方案（附件1）</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_Toc24520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253CED31">
          <w:pPr>
            <w:pStyle w:val="13"/>
            <w:tabs>
              <w:tab w:val="right" w:leader="dot" w:pos="8390"/>
            </w:tabs>
          </w:pPr>
          <w:r>
            <w:rPr>
              <w:rFonts w:hint="default" w:ascii="Times New Roman" w:hAnsi="Times New Roman" w:eastAsia="宋体" w:cs="Times New Roman"/>
              <w:b/>
              <w:bCs/>
              <w:szCs w:val="21"/>
            </w:rPr>
            <w:fldChar w:fldCharType="begin"/>
          </w:r>
          <w:r>
            <w:rPr>
              <w:rFonts w:hint="default" w:ascii="Times New Roman" w:hAnsi="Times New Roman" w:eastAsia="宋体" w:cs="Times New Roman"/>
              <w:b/>
              <w:bCs/>
              <w:szCs w:val="21"/>
            </w:rPr>
            <w:instrText xml:space="preserve"> HYPERLINK \l _Toc18426 </w:instrText>
          </w:r>
          <w:r>
            <w:rPr>
              <w:rFonts w:hint="default" w:ascii="Times New Roman" w:hAnsi="Times New Roman" w:eastAsia="宋体" w:cs="Times New Roman"/>
              <w:b/>
              <w:bCs/>
              <w:szCs w:val="21"/>
            </w:rPr>
            <w:fldChar w:fldCharType="separate"/>
          </w:r>
          <w:r>
            <w:rPr>
              <w:rFonts w:hint="default" w:ascii="Times New Roman" w:hAnsi="Times New Roman" w:eastAsia="宋体" w:cs="Times New Roman"/>
              <w:b/>
              <w:bCs/>
            </w:rPr>
            <w:t>（</w:t>
          </w:r>
          <w:r>
            <w:rPr>
              <w:rFonts w:hint="default" w:ascii="Times New Roman" w:hAnsi="Times New Roman" w:eastAsia="宋体" w:cs="Times New Roman"/>
              <w:b/>
              <w:bCs/>
              <w:lang w:eastAsia="zh-CN"/>
            </w:rPr>
            <w:t>二</w:t>
          </w:r>
          <w:r>
            <w:rPr>
              <w:rFonts w:hint="default" w:ascii="Times New Roman" w:hAnsi="Times New Roman" w:eastAsia="宋体" w:cs="Times New Roman"/>
              <w:b/>
              <w:bCs/>
            </w:rPr>
            <w:t>）实验室间</w:t>
          </w:r>
          <w:r>
            <w:rPr>
              <w:rFonts w:hint="default" w:ascii="Times New Roman" w:hAnsi="Times New Roman" w:eastAsia="宋体" w:cs="Times New Roman"/>
              <w:b/>
              <w:bCs/>
              <w:lang w:eastAsia="zh-CN"/>
            </w:rPr>
            <w:t>结果</w:t>
          </w:r>
          <w:r>
            <w:rPr>
              <w:rFonts w:hint="default" w:ascii="Times New Roman" w:hAnsi="Times New Roman" w:eastAsia="宋体" w:cs="Times New Roman"/>
              <w:b/>
              <w:bCs/>
            </w:rPr>
            <w:t>（附件</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_Toc18426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65</w:t>
          </w:r>
          <w:r>
            <w:rPr>
              <w:rFonts w:hint="default" w:ascii="Times New Roman" w:hAnsi="Times New Roman" w:eastAsia="宋体" w:cs="Times New Roman"/>
              <w:b/>
              <w:bCs/>
            </w:rPr>
            <w:fldChar w:fldCharType="end"/>
          </w:r>
          <w:r>
            <w:rPr>
              <w:rFonts w:hint="default" w:ascii="Times New Roman" w:hAnsi="Times New Roman" w:eastAsia="宋体" w:cs="Times New Roman"/>
              <w:b/>
              <w:bCs/>
              <w:szCs w:val="21"/>
            </w:rPr>
            <w:fldChar w:fldCharType="end"/>
          </w:r>
        </w:p>
        <w:p w14:paraId="00DB5DB3">
          <w:r>
            <w:rPr>
              <w:szCs w:val="21"/>
            </w:rPr>
            <w:fldChar w:fldCharType="end"/>
          </w:r>
        </w:p>
      </w:sdtContent>
    </w:sdt>
    <w:p w14:paraId="796E6B84">
      <w:pPr>
        <w:rPr>
          <w:highlight w:val="none"/>
        </w:rPr>
      </w:pPr>
      <w:r>
        <w:rPr>
          <w:highlight w:val="none"/>
        </w:rPr>
        <w:br w:type="page"/>
      </w:r>
    </w:p>
    <w:p w14:paraId="0DA109F0">
      <w:pPr>
        <w:sectPr>
          <w:headerReference r:id="rId4" w:type="default"/>
          <w:footerReference r:id="rId5" w:type="default"/>
          <w:type w:val="continuous"/>
          <w:pgSz w:w="11906" w:h="16838"/>
          <w:pgMar w:top="1440" w:right="1758" w:bottom="1418" w:left="1758" w:header="851" w:footer="992" w:gutter="0"/>
          <w:pgNumType w:fmt="upperRoman" w:start="1"/>
          <w:cols w:space="720" w:num="1"/>
          <w:docGrid w:type="lines" w:linePitch="312" w:charSpace="0"/>
        </w:sectPr>
      </w:pPr>
    </w:p>
    <w:p w14:paraId="5BA68FE8">
      <w:pPr>
        <w:rPr>
          <w:rFonts w:hint="eastAsia" w:cs="Calibri"/>
          <w:lang w:eastAsia="zh-CN"/>
        </w:rPr>
      </w:pPr>
      <w:bookmarkStart w:id="0" w:name="_Toc27457"/>
      <w:r>
        <w:rPr>
          <w:rFonts w:hint="eastAsia" w:cs="Calibri"/>
          <w:lang w:eastAsia="zh-CN"/>
        </w:rPr>
        <w:br w:type="page"/>
      </w:r>
    </w:p>
    <w:p w14:paraId="2D454C20">
      <w:pPr>
        <w:pStyle w:val="2"/>
        <w:pageBreakBefore w:val="0"/>
        <w:widowControl w:val="0"/>
        <w:kinsoku/>
        <w:wordWrap/>
        <w:overflowPunct/>
        <w:topLinePunct w:val="0"/>
        <w:autoSpaceDE/>
        <w:autoSpaceDN/>
        <w:bidi w:val="0"/>
        <w:adjustRightInd/>
        <w:snapToGrid/>
        <w:textAlignment w:val="auto"/>
        <w:rPr>
          <w:rFonts w:hint="eastAsia" w:cs="Calibri"/>
          <w:lang w:eastAsia="zh-CN"/>
        </w:rPr>
      </w:pPr>
      <w:r>
        <w:rPr>
          <w:rFonts w:hint="eastAsia" w:cs="Calibri"/>
          <w:lang w:eastAsia="zh-CN"/>
        </w:rPr>
        <w:t>一、工作简况</w:t>
      </w:r>
      <w:bookmarkEnd w:id="0"/>
    </w:p>
    <w:p w14:paraId="1B5108C4">
      <w:pPr>
        <w:pStyle w:val="3"/>
        <w:pageBreakBefore w:val="0"/>
        <w:widowControl w:val="0"/>
        <w:kinsoku/>
        <w:wordWrap/>
        <w:overflowPunct/>
        <w:topLinePunct w:val="0"/>
        <w:autoSpaceDE/>
        <w:autoSpaceDN/>
        <w:bidi w:val="0"/>
        <w:adjustRightInd/>
        <w:snapToGrid/>
        <w:spacing w:before="50" w:after="50" w:line="240" w:lineRule="auto"/>
        <w:ind w:firstLine="0" w:firstLineChars="0"/>
        <w:textAlignment w:val="auto"/>
        <w:rPr>
          <w:rFonts w:eastAsia="黑体" w:cs="Calibri"/>
          <w:b w:val="0"/>
          <w:sz w:val="21"/>
          <w:highlight w:val="none"/>
        </w:rPr>
      </w:pPr>
      <w:bookmarkStart w:id="1" w:name="_Toc17351"/>
      <w:r>
        <w:rPr>
          <w:rFonts w:eastAsia="黑体" w:cs="Calibri"/>
          <w:b w:val="0"/>
          <w:sz w:val="21"/>
          <w:highlight w:val="none"/>
        </w:rPr>
        <w:t>（一）标准制定背景</w:t>
      </w:r>
      <w:bookmarkEnd w:id="1"/>
    </w:p>
    <w:p w14:paraId="56CD2381">
      <w:pPr>
        <w:bidi w:val="0"/>
        <w:spacing w:line="312" w:lineRule="auto"/>
        <w:ind w:firstLine="420" w:firstLineChars="200"/>
        <w:rPr>
          <w:rFonts w:hint="eastAsia" w:ascii="Times New Roman" w:hAnsi="Times New Roman" w:cs="Calibri"/>
          <w:szCs w:val="22"/>
          <w:highlight w:val="none"/>
        </w:rPr>
      </w:pPr>
      <w:r>
        <w:rPr>
          <w:rFonts w:hint="eastAsia"/>
        </w:rPr>
        <w:t>据全球咨询机构AgbioInvestor数据，2024年全球转基因作物种植面积为2.098亿公顷，同比增长1.9%，创历史新高。其中，转基因玉米种植面积</w:t>
      </w:r>
      <w:r>
        <w:rPr>
          <w:rFonts w:hint="eastAsia"/>
          <w:lang w:eastAsia="zh-CN"/>
        </w:rPr>
        <w:t>仅次于大豆，占总种植面积的</w:t>
      </w:r>
      <w:r>
        <w:rPr>
          <w:rFonts w:hint="eastAsia"/>
          <w:lang w:val="en-US" w:eastAsia="zh-CN"/>
        </w:rPr>
        <w:t>32.5%。</w:t>
      </w:r>
      <w:r>
        <w:rPr>
          <w:rFonts w:hint="eastAsia"/>
          <w:lang w:eastAsia="zh-CN"/>
        </w:rPr>
        <w:t>共有</w:t>
      </w:r>
      <w:r>
        <w:rPr>
          <w:rFonts w:hint="eastAsia"/>
          <w:lang w:val="en-US" w:eastAsia="zh-CN"/>
        </w:rPr>
        <w:t>27种不同的转基因作物在多个国家获得了种植许可，其中，39.4%的种植许可涉及转基因玉米品种</w:t>
      </w:r>
      <w:r>
        <w:rPr>
          <w:rFonts w:hint="eastAsia" w:ascii="Times New Roman" w:hAnsi="Times New Roman" w:cs="Calibri"/>
          <w:szCs w:val="22"/>
          <w:highlight w:val="none"/>
          <w:vertAlign w:val="superscript"/>
        </w:rPr>
        <w:t>[</w:t>
      </w:r>
      <w:r>
        <w:rPr>
          <w:rFonts w:hint="eastAsia" w:ascii="Times New Roman" w:hAnsi="Times New Roman" w:cs="Calibri"/>
          <w:szCs w:val="22"/>
          <w:highlight w:val="none"/>
          <w:vertAlign w:val="superscript"/>
          <w:lang w:val="en-US" w:eastAsia="zh-CN"/>
        </w:rPr>
        <w:t>1</w:t>
      </w:r>
      <w:r>
        <w:rPr>
          <w:rFonts w:hint="eastAsia" w:ascii="Times New Roman" w:hAnsi="Times New Roman" w:cs="Calibri"/>
          <w:szCs w:val="22"/>
          <w:highlight w:val="none"/>
          <w:vertAlign w:val="superscript"/>
        </w:rPr>
        <w:t>]</w:t>
      </w:r>
      <w:r>
        <w:rPr>
          <w:rFonts w:hint="eastAsia"/>
          <w:lang w:val="en-US" w:eastAsia="zh-CN"/>
        </w:rPr>
        <w:t>。</w:t>
      </w:r>
      <w:r>
        <w:rPr>
          <w:rFonts w:hint="eastAsia"/>
        </w:rPr>
        <w:t>为保障生物育种产业化健康发展、保护公众的知情权，包括我国在内的全球</w:t>
      </w:r>
      <w:r>
        <w:rPr>
          <w:rFonts w:hint="eastAsia"/>
          <w:lang w:val="en-US" w:eastAsia="zh-CN"/>
        </w:rPr>
        <w:t>7</w:t>
      </w:r>
      <w:r>
        <w:rPr>
          <w:rFonts w:hint="eastAsia"/>
        </w:rPr>
        <w:t>0多个国家和地区颁布实施了转基因生物标识管理制度。</w:t>
      </w:r>
      <w:r>
        <w:rPr>
          <w:rFonts w:hint="eastAsia" w:ascii="Times New Roman" w:hAnsi="Times New Roman" w:cs="Calibri"/>
          <w:szCs w:val="22"/>
          <w:highlight w:val="none"/>
        </w:rPr>
        <w:t>2020年《食品标识监督管理办法（征求意见稿）》规定：我国对转基因食品实行强制标识制度，实施标识管理的农业转基因生物目录，凡是列入标识管理目录并用于销售的农业转基因生物都必须进行标识。因此针对转基因玉米品系建立特异、灵敏、标准化的检测方法是十分必要的，为玉米产业化后的产品溯源、标识管理及知识产权保护等管理工作提供技术支撑。</w:t>
      </w:r>
    </w:p>
    <w:p w14:paraId="091482F8">
      <w:pPr>
        <w:bidi w:val="0"/>
        <w:spacing w:line="312" w:lineRule="auto"/>
        <w:ind w:firstLine="420" w:firstLineChars="200"/>
        <w:rPr>
          <w:rFonts w:hint="eastAsia" w:ascii="Times New Roman" w:hAnsi="Times New Roman" w:cs="Calibri"/>
          <w:szCs w:val="22"/>
          <w:highlight w:val="none"/>
        </w:rPr>
      </w:pPr>
      <w:r>
        <w:rPr>
          <w:rFonts w:hint="eastAsia" w:ascii="Times New Roman" w:hAnsi="Times New Roman" w:cs="Calibri"/>
          <w:szCs w:val="22"/>
          <w:highlight w:val="none"/>
        </w:rPr>
        <w:t>在转基因产品检测过程中，PCR技术因其灵敏度高、再现性好等特性，应用最为广泛。转基因产品PCR检测技术依据其特异性可分为筛选、基因、构建和转化体特异性4类。其中转化体特异性检测方法具有高度专一性，已成为国际上转基因产品检测方法标准的首选，我国近年来发布的检测方法标准绝大多数为转化体特异性检测方法。本次标准研制过程中同时制定了转化体特异性实时荧光PCR定性检测方法、实时荧光PCR定量检测方法和普通PCR定性方法，实时荧光PCR定性检测方法采用规定的引物和探针对试样中转化体成分进行检测，检测灵敏度和特异性较强；实时荧光PCR定量检测方法依据模板拷贝数对数与</w:t>
      </w:r>
      <w:r>
        <w:rPr>
          <w:rFonts w:hint="eastAsia" w:ascii="Times New Roman" w:hAnsi="Times New Roman" w:cs="Calibri"/>
          <w:i/>
          <w:iCs/>
          <w:szCs w:val="22"/>
          <w:highlight w:val="none"/>
        </w:rPr>
        <w:t>Ct</w:t>
      </w:r>
      <w:r>
        <w:rPr>
          <w:rFonts w:hint="eastAsia" w:ascii="Times New Roman" w:hAnsi="Times New Roman" w:cs="Calibri"/>
          <w:szCs w:val="22"/>
          <w:highlight w:val="none"/>
        </w:rPr>
        <w:t>值间的线性关系，可以准确计算试样中的转化体含量；普通PCR定性方法依据是否扩增获得预期的DNA片段，判断试样中是否含有转化体成分。该标准包含的三种方法便于检测单位根据自己的实际条件选择合适的方法。</w:t>
      </w:r>
    </w:p>
    <w:p w14:paraId="3817F760">
      <w:pPr>
        <w:bidi w:val="0"/>
        <w:spacing w:line="312" w:lineRule="auto"/>
        <w:ind w:firstLine="420" w:firstLineChars="200"/>
        <w:rPr>
          <w:rFonts w:hint="eastAsia" w:ascii="Times New Roman" w:hAnsi="Times New Roman" w:cs="Calibri"/>
          <w:szCs w:val="22"/>
          <w:highlight w:val="none"/>
        </w:rPr>
      </w:pPr>
      <w:r>
        <w:rPr>
          <w:rFonts w:hint="eastAsia" w:ascii="Times New Roman" w:hAnsi="Times New Roman" w:cs="Calibri"/>
          <w:szCs w:val="22"/>
          <w:highlight w:val="none"/>
        </w:rPr>
        <w:t>抗虫耐除草剂玉米</w:t>
      </w:r>
      <w:r>
        <w:rPr>
          <w:rFonts w:hint="eastAsia" w:cs="Calibri"/>
          <w:szCs w:val="22"/>
          <w:highlight w:val="none"/>
          <w:lang w:eastAsia="zh-CN"/>
        </w:rPr>
        <w:t>QY2569-42</w:t>
      </w:r>
      <w:r>
        <w:rPr>
          <w:rFonts w:hint="eastAsia" w:ascii="Times New Roman" w:hAnsi="Times New Roman" w:cs="Calibri"/>
          <w:szCs w:val="22"/>
          <w:highlight w:val="none"/>
        </w:rPr>
        <w:t>是</w:t>
      </w:r>
      <w:r>
        <w:rPr>
          <w:rFonts w:hint="default" w:ascii="Times New Roman" w:hAnsi="Times New Roman" w:eastAsia="宋体" w:cs="Times New Roman"/>
          <w:color w:val="auto"/>
          <w:sz w:val="21"/>
          <w:szCs w:val="21"/>
          <w:highlight w:val="none"/>
          <w:lang w:bidi="ar"/>
        </w:rPr>
        <w:t>青岛清原化合物有限公司</w:t>
      </w:r>
      <w:r>
        <w:rPr>
          <w:rFonts w:hint="eastAsia" w:ascii="Times New Roman" w:hAnsi="Times New Roman" w:cs="Calibri"/>
          <w:sz w:val="21"/>
          <w:szCs w:val="21"/>
          <w:highlight w:val="none"/>
        </w:rPr>
        <w:t>研发的转</w:t>
      </w:r>
      <w:r>
        <w:rPr>
          <w:rFonts w:hint="eastAsia" w:ascii="Times New Roman" w:hAnsi="Times New Roman" w:eastAsia="仿宋" w:cs="Times New Roman"/>
          <w:i/>
          <w:sz w:val="21"/>
          <w:szCs w:val="21"/>
          <w:highlight w:val="none"/>
        </w:rPr>
        <w:t>vip3Aa-k1</w:t>
      </w:r>
      <w:r>
        <w:rPr>
          <w:rFonts w:hint="eastAsia" w:ascii="Times New Roman" w:hAnsi="Times New Roman" w:eastAsia="仿宋" w:cs="Times New Roman"/>
          <w:sz w:val="21"/>
          <w:szCs w:val="21"/>
          <w:highlight w:val="none"/>
        </w:rPr>
        <w:t>、</w:t>
      </w:r>
      <w:r>
        <w:rPr>
          <w:rFonts w:hint="eastAsia" w:ascii="Times New Roman" w:hAnsi="Times New Roman" w:eastAsia="仿宋" w:cs="Times New Roman"/>
          <w:i/>
          <w:sz w:val="21"/>
          <w:szCs w:val="21"/>
          <w:highlight w:val="none"/>
        </w:rPr>
        <w:t>cry1Ab</w:t>
      </w:r>
      <w:r>
        <w:rPr>
          <w:rFonts w:ascii="Times New Roman" w:hAnsi="Times New Roman" w:eastAsia="仿宋" w:cs="Times New Roman"/>
          <w:sz w:val="21"/>
          <w:szCs w:val="21"/>
          <w:highlight w:val="none"/>
        </w:rPr>
        <w:t>和</w:t>
      </w:r>
      <w:r>
        <w:rPr>
          <w:rFonts w:ascii="Times New Roman" w:hAnsi="Times New Roman" w:eastAsia="仿宋" w:cs="Times New Roman"/>
          <w:i/>
          <w:iCs/>
          <w:sz w:val="21"/>
          <w:szCs w:val="21"/>
          <w:highlight w:val="none"/>
        </w:rPr>
        <w:t>pat</w:t>
      </w:r>
      <w:r>
        <w:rPr>
          <w:rFonts w:ascii="Times New Roman" w:hAnsi="Times New Roman" w:eastAsia="仿宋" w:cs="Times New Roman"/>
          <w:sz w:val="21"/>
          <w:szCs w:val="21"/>
          <w:highlight w:val="none"/>
        </w:rPr>
        <w:t>基因</w:t>
      </w:r>
      <w:r>
        <w:rPr>
          <w:rFonts w:hint="eastAsia" w:ascii="Times New Roman" w:hAnsi="Times New Roman" w:cs="Calibri"/>
          <w:sz w:val="21"/>
          <w:szCs w:val="21"/>
          <w:highlight w:val="none"/>
        </w:rPr>
        <w:t>的抗虫耐除草剂玉米</w:t>
      </w:r>
      <w:r>
        <w:rPr>
          <w:rFonts w:hint="eastAsia" w:ascii="Times New Roman" w:hAnsi="Times New Roman" w:cs="Calibri"/>
          <w:szCs w:val="22"/>
          <w:highlight w:val="none"/>
        </w:rPr>
        <w:t>新品系，具有抗虫耐除草剂的特性。该转基因玉米已于202</w:t>
      </w:r>
      <w:r>
        <w:rPr>
          <w:rFonts w:hint="eastAsia" w:cs="Calibri"/>
          <w:szCs w:val="22"/>
          <w:highlight w:val="none"/>
          <w:lang w:val="en-US" w:eastAsia="zh-CN"/>
        </w:rPr>
        <w:t>4</w:t>
      </w:r>
      <w:r>
        <w:rPr>
          <w:rFonts w:hint="eastAsia" w:ascii="Times New Roman" w:hAnsi="Times New Roman" w:cs="Calibri"/>
          <w:szCs w:val="22"/>
          <w:highlight w:val="none"/>
        </w:rPr>
        <w:t>年获得转基因生物生产应用安全证书，具有良好的产业化前景</w:t>
      </w:r>
      <w:r>
        <w:rPr>
          <w:rFonts w:hint="eastAsia" w:ascii="Times New Roman" w:hAnsi="Times New Roman" w:cs="Calibri"/>
          <w:szCs w:val="22"/>
          <w:highlight w:val="none"/>
          <w:vertAlign w:val="superscript"/>
        </w:rPr>
        <w:t>[2]</w:t>
      </w:r>
      <w:r>
        <w:rPr>
          <w:rFonts w:hint="eastAsia" w:ascii="Times New Roman" w:hAnsi="Times New Roman" w:cs="Calibri"/>
          <w:szCs w:val="22"/>
          <w:highlight w:val="none"/>
        </w:rPr>
        <w:t>。截至目前，我国尚未发布针对抗虫耐除草剂玉米</w:t>
      </w:r>
      <w:r>
        <w:rPr>
          <w:rFonts w:hint="eastAsia" w:cs="Calibri"/>
          <w:szCs w:val="22"/>
          <w:highlight w:val="none"/>
          <w:lang w:eastAsia="zh-CN"/>
        </w:rPr>
        <w:t>QY2569-42</w:t>
      </w:r>
      <w:r>
        <w:rPr>
          <w:rFonts w:hint="eastAsia" w:ascii="Times New Roman" w:hAnsi="Times New Roman" w:cs="Calibri"/>
          <w:szCs w:val="22"/>
          <w:highlight w:val="none"/>
        </w:rPr>
        <w:t>的转化体特异性PCR方法检测标准，因此，亟需建立该标准，为生物育种产业化和我国转基因生物安全监管提供技术支撑。</w:t>
      </w:r>
    </w:p>
    <w:p w14:paraId="13791521">
      <w:pPr>
        <w:pStyle w:val="3"/>
        <w:keepNext/>
        <w:keepLines/>
        <w:pageBreakBefore w:val="0"/>
        <w:widowControl w:val="0"/>
        <w:kinsoku/>
        <w:wordWrap/>
        <w:overflowPunct/>
        <w:topLinePunct w:val="0"/>
        <w:autoSpaceDE/>
        <w:autoSpaceDN/>
        <w:bidi w:val="0"/>
        <w:adjustRightInd/>
        <w:snapToGrid/>
        <w:spacing w:line="240" w:lineRule="auto"/>
        <w:textAlignment w:val="auto"/>
        <w:rPr>
          <w:rFonts w:eastAsia="黑体" w:cs="Calibri"/>
          <w:b w:val="0"/>
          <w:sz w:val="21"/>
          <w:highlight w:val="none"/>
        </w:rPr>
      </w:pPr>
      <w:bookmarkStart w:id="2" w:name="_Toc5936"/>
      <w:r>
        <w:rPr>
          <w:rFonts w:eastAsia="黑体" w:cs="Calibri"/>
          <w:b w:val="0"/>
          <w:sz w:val="21"/>
          <w:highlight w:val="none"/>
        </w:rPr>
        <w:t>（二）任务来源</w:t>
      </w:r>
      <w:bookmarkEnd w:id="2"/>
    </w:p>
    <w:p w14:paraId="6126F4E8">
      <w:pPr>
        <w:bidi w:val="0"/>
        <w:spacing w:line="312" w:lineRule="auto"/>
        <w:ind w:firstLine="420" w:firstLineChars="200"/>
        <w:rPr>
          <w:rFonts w:hint="eastAsia" w:ascii="Times New Roman" w:hAnsi="Times New Roman" w:cs="Calibri"/>
          <w:szCs w:val="22"/>
          <w:highlight w:val="none"/>
        </w:rPr>
      </w:pPr>
      <w:r>
        <w:rPr>
          <w:rFonts w:hint="eastAsia" w:ascii="Times New Roman" w:hAnsi="Times New Roman" w:cs="Calibri"/>
          <w:szCs w:val="22"/>
          <w:highlight w:val="none"/>
        </w:rPr>
        <w:t>本标准制定任务来源于农业农村部202</w:t>
      </w:r>
      <w:r>
        <w:rPr>
          <w:rFonts w:hint="eastAsia" w:cs="Calibri"/>
          <w:szCs w:val="22"/>
          <w:highlight w:val="none"/>
          <w:lang w:val="en-US" w:eastAsia="zh-CN"/>
        </w:rPr>
        <w:t>5</w:t>
      </w:r>
      <w:r>
        <w:rPr>
          <w:rFonts w:hint="eastAsia" w:ascii="Times New Roman" w:hAnsi="Times New Roman" w:cs="Calibri"/>
          <w:szCs w:val="22"/>
          <w:highlight w:val="none"/>
        </w:rPr>
        <w:t>年农业国家标准和行业标准制修订项目“农质标函〔202</w:t>
      </w:r>
      <w:r>
        <w:rPr>
          <w:rFonts w:hint="eastAsia" w:cs="Calibri"/>
          <w:szCs w:val="22"/>
          <w:highlight w:val="none"/>
          <w:lang w:val="en-US" w:eastAsia="zh-CN"/>
        </w:rPr>
        <w:t>5</w:t>
      </w:r>
      <w:r>
        <w:rPr>
          <w:rFonts w:hint="eastAsia" w:ascii="Times New Roman" w:hAnsi="Times New Roman" w:cs="Calibri"/>
          <w:szCs w:val="22"/>
          <w:highlight w:val="none"/>
        </w:rPr>
        <w:t>〕</w:t>
      </w:r>
      <w:r>
        <w:rPr>
          <w:rFonts w:hint="eastAsia" w:cs="Calibri"/>
          <w:szCs w:val="22"/>
          <w:highlight w:val="none"/>
          <w:lang w:val="en-US" w:eastAsia="zh-CN"/>
        </w:rPr>
        <w:t>96</w:t>
      </w:r>
      <w:r>
        <w:rPr>
          <w:rFonts w:hint="eastAsia" w:ascii="Times New Roman" w:hAnsi="Times New Roman" w:cs="Calibri"/>
          <w:szCs w:val="22"/>
          <w:highlight w:val="none"/>
        </w:rPr>
        <w:t>号”文件“关于下达202</w:t>
      </w:r>
      <w:r>
        <w:rPr>
          <w:rFonts w:hint="eastAsia" w:cs="Calibri"/>
          <w:szCs w:val="22"/>
          <w:highlight w:val="none"/>
          <w:lang w:val="en-US" w:eastAsia="zh-CN"/>
        </w:rPr>
        <w:t>5</w:t>
      </w:r>
      <w:r>
        <w:rPr>
          <w:rFonts w:hint="eastAsia" w:ascii="Times New Roman" w:hAnsi="Times New Roman" w:cs="Calibri"/>
          <w:szCs w:val="22"/>
          <w:highlight w:val="none"/>
        </w:rPr>
        <w:t>年农业国家和行业标准制修订项目计划的通知”，立项标准编号NYB-2</w:t>
      </w:r>
      <w:r>
        <w:rPr>
          <w:rFonts w:hint="eastAsia" w:cs="Calibri"/>
          <w:szCs w:val="22"/>
          <w:highlight w:val="none"/>
          <w:lang w:val="en-US" w:eastAsia="zh-CN"/>
        </w:rPr>
        <w:t>51</w:t>
      </w:r>
      <w:r>
        <w:rPr>
          <w:rFonts w:hint="eastAsia" w:ascii="Times New Roman" w:hAnsi="Times New Roman" w:cs="Calibri"/>
          <w:szCs w:val="22"/>
          <w:highlight w:val="none"/>
          <w:lang w:val="en-US" w:eastAsia="zh-CN"/>
        </w:rPr>
        <w:t>24</w:t>
      </w:r>
      <w:r>
        <w:rPr>
          <w:rFonts w:hint="eastAsia" w:ascii="Times New Roman" w:hAnsi="Times New Roman" w:cs="Calibri"/>
          <w:szCs w:val="22"/>
          <w:highlight w:val="none"/>
        </w:rPr>
        <w:t>，由中国农业科学院生物技术研究所、农业农村部科技发展中心、</w:t>
      </w:r>
      <w:r>
        <w:rPr>
          <w:rFonts w:hint="default" w:ascii="Times New Roman" w:hAnsi="Times New Roman" w:cs="Calibri"/>
          <w:szCs w:val="22"/>
          <w:highlight w:val="none"/>
        </w:rPr>
        <w:t>青岛清原化合物有限公司</w:t>
      </w:r>
      <w:r>
        <w:rPr>
          <w:rFonts w:hint="eastAsia" w:cs="Calibri"/>
          <w:szCs w:val="22"/>
          <w:highlight w:val="none"/>
          <w:lang w:eastAsia="zh-CN"/>
        </w:rPr>
        <w:t>、</w:t>
      </w:r>
      <w:r>
        <w:rPr>
          <w:rFonts w:hint="eastAsia" w:ascii="Times New Roman" w:hAnsi="Times New Roman" w:cs="Calibri"/>
          <w:szCs w:val="22"/>
          <w:highlight w:val="none"/>
        </w:rPr>
        <w:t>三亚中国农业科学院国家南繁研究院</w:t>
      </w:r>
      <w:r>
        <w:rPr>
          <w:rFonts w:hint="eastAsia" w:ascii="Times New Roman" w:hAnsi="Times New Roman" w:cs="Calibri"/>
          <w:szCs w:val="22"/>
          <w:highlight w:val="none"/>
          <w:lang w:eastAsia="zh-CN"/>
        </w:rPr>
        <w:t>和山东省农业科学院联合</w:t>
      </w:r>
      <w:r>
        <w:rPr>
          <w:rFonts w:hint="eastAsia" w:ascii="Times New Roman" w:hAnsi="Times New Roman" w:cs="Calibri"/>
          <w:szCs w:val="22"/>
          <w:highlight w:val="none"/>
        </w:rPr>
        <w:t>起草。</w:t>
      </w:r>
    </w:p>
    <w:p w14:paraId="4F49691D">
      <w:pPr>
        <w:bidi w:val="0"/>
        <w:spacing w:line="312" w:lineRule="auto"/>
        <w:ind w:firstLine="420" w:firstLineChars="200"/>
        <w:rPr>
          <w:rFonts w:hint="eastAsia" w:ascii="Times New Roman" w:hAnsi="Times New Roman" w:cs="Calibri"/>
          <w:szCs w:val="22"/>
          <w:highlight w:val="none"/>
        </w:rPr>
      </w:pPr>
      <w:r>
        <w:rPr>
          <w:rFonts w:hint="eastAsia" w:ascii="Times New Roman" w:hAnsi="Times New Roman" w:cs="Calibri"/>
          <w:szCs w:val="22"/>
          <w:highlight w:val="none"/>
        </w:rPr>
        <w:t>本标准主要起草人为：</w:t>
      </w:r>
      <w:r>
        <w:rPr>
          <w:rFonts w:hint="eastAsia" w:ascii="Times New Roman" w:hAnsi="Times New Roman" w:cs="Calibri"/>
          <w:szCs w:val="22"/>
          <w:highlight w:val="none"/>
          <w:lang w:eastAsia="zh-CN"/>
        </w:rPr>
        <w:t>。</w:t>
      </w:r>
    </w:p>
    <w:p w14:paraId="263A2E86">
      <w:pPr>
        <w:pStyle w:val="3"/>
        <w:keepNext/>
        <w:keepLines/>
        <w:pageBreakBefore w:val="0"/>
        <w:widowControl w:val="0"/>
        <w:kinsoku/>
        <w:wordWrap/>
        <w:overflowPunct/>
        <w:topLinePunct w:val="0"/>
        <w:autoSpaceDE/>
        <w:autoSpaceDN/>
        <w:bidi w:val="0"/>
        <w:adjustRightInd/>
        <w:snapToGrid/>
        <w:spacing w:line="240" w:lineRule="auto"/>
        <w:textAlignment w:val="auto"/>
        <w:rPr>
          <w:rFonts w:eastAsia="黑体" w:cs="Calibri"/>
          <w:b w:val="0"/>
          <w:sz w:val="21"/>
          <w:highlight w:val="none"/>
        </w:rPr>
      </w:pPr>
      <w:bookmarkStart w:id="3" w:name="_Toc8116"/>
      <w:r>
        <w:rPr>
          <w:rFonts w:hint="eastAsia" w:eastAsia="黑体" w:cs="Calibri"/>
          <w:b w:val="0"/>
          <w:sz w:val="21"/>
          <w:highlight w:val="none"/>
          <w:lang w:val="en-US" w:eastAsia="zh-CN"/>
        </w:rPr>
        <w:t>（三）</w:t>
      </w:r>
      <w:r>
        <w:rPr>
          <w:rFonts w:eastAsia="黑体" w:cs="Calibri"/>
          <w:b w:val="0"/>
          <w:sz w:val="21"/>
          <w:highlight w:val="none"/>
        </w:rPr>
        <w:t>起草单位情况</w:t>
      </w:r>
      <w:bookmarkEnd w:id="3"/>
    </w:p>
    <w:p w14:paraId="07137228">
      <w:pPr>
        <w:bidi w:val="0"/>
        <w:spacing w:line="312" w:lineRule="auto"/>
        <w:ind w:firstLine="420" w:firstLineChars="200"/>
        <w:rPr>
          <w:rFonts w:hint="eastAsia" w:ascii="Times New Roman" w:hAnsi="Times New Roman" w:cs="Calibri"/>
          <w:szCs w:val="22"/>
          <w:highlight w:val="none"/>
        </w:rPr>
      </w:pPr>
      <w:r>
        <w:rPr>
          <w:rFonts w:hint="eastAsia" w:ascii="Times New Roman" w:hAnsi="Times New Roman" w:cs="Calibri"/>
          <w:szCs w:val="22"/>
          <w:highlight w:val="none"/>
        </w:rPr>
        <w:t>制标单位中国农业科学院生物技术研究所，依托其成立的农业农村部植物及植物用微生物生态环境安全检验测试中心（北京）原名“农业部转基因植物用微生物环境安全监督检验测试中心（北京）”，于2008年首次通过检验检测机构资质认定（国家计量认证）、农业部农产品质量安全检测机构考核和农业部农业质检机构审查认可现场考核，获得转基因生物及其产品成分检测、分子特征评价检测、环境安全评价检测及水稻玉米等作物DNA指纹检测资质。检测中心在机构设置、仪器配备、环境条件、人才培养、质量保证体系等各方面在全国范围内处于领先水平，是我国转基因植物及其产品检测标准的主要研制单位之一。主要开展转基因植物及其产品成分和环境安全检测技术研究，承担转基因检测标准制修订、区域性转基因生物安全监测与检测等工作。检测中心在转基因植物及其产品的定性和定量检测技术及其标准化研究方面开展了大量卓有成效的工作，成功搭建了标准制定技术平台。近年来参与制定发布转基因植物安全评价、转基因植物及其产品成分检测国家标准40余项，为我国转基因生物安全评价提供了重要的科学和技术支撑。</w:t>
      </w:r>
    </w:p>
    <w:p w14:paraId="76EC8091">
      <w:pPr>
        <w:bidi w:val="0"/>
        <w:spacing w:line="312" w:lineRule="auto"/>
        <w:ind w:firstLine="420" w:firstLineChars="200"/>
        <w:rPr>
          <w:rFonts w:hint="eastAsia" w:ascii="Times New Roman" w:hAnsi="Times New Roman" w:cs="Calibri"/>
          <w:szCs w:val="22"/>
          <w:highlight w:val="none"/>
        </w:rPr>
      </w:pPr>
      <w:r>
        <w:rPr>
          <w:rFonts w:hint="eastAsia" w:ascii="Times New Roman" w:hAnsi="Times New Roman" w:cs="Calibri"/>
          <w:szCs w:val="22"/>
          <w:highlight w:val="none"/>
        </w:rPr>
        <w:t>联合制标单位农业农村部科技发展中心为农业农村部直属事业单位，加挂农业农村部转基因生物安全监管中心牌子，是国家农业转基因生物安全评价与检定中心的依托单位，是我国专门从事转基因生物检测鉴定、监测监控和安全评价的全国性技术机构，主要职能包括：参与国家有关农业转基因生物安全管理法律法规的制定和组织实施；负责农业转基因生物安全评价和标识申请的受理与审查，参与评审的组织工作；负责农业转基因生物安全评价、检定与监控技术标准的制修订；负责全国农业转基因生物安全标准化技术委员会秘书处工作；负责农业转基因生物安全技术检测体系建设与管理的组织实施；组织开展农业转基因生物产品成分、食用安全、环境安全检测鉴定与监测监控；负责承担国际《生物安全议定书》规定的农业转基因生物安全管理信息交流与交换；组织开展农业转基因生物安全评价、检定与监控技术的国际合作与交流；负责农业转基因生物安全管理技术培训与公众宣传工作；承担农业农村部交办的其他工作。近年来，根据管理工作需要，组织制定农业转基因植物、动物、微生物的转基因产品成分检测、环境安全和食用安全检测的国家和行业标准250余项。</w:t>
      </w:r>
    </w:p>
    <w:p w14:paraId="1AF34F0E">
      <w:pPr>
        <w:bidi w:val="0"/>
        <w:spacing w:line="312" w:lineRule="auto"/>
        <w:ind w:firstLine="420" w:firstLineChars="200"/>
        <w:rPr>
          <w:rFonts w:hint="eastAsia" w:ascii="Times New Roman" w:hAnsi="Times New Roman" w:cs="Calibri"/>
          <w:szCs w:val="22"/>
          <w:highlight w:val="none"/>
          <w:lang w:eastAsia="zh-CN"/>
        </w:rPr>
      </w:pPr>
      <w:r>
        <w:rPr>
          <w:rFonts w:hint="eastAsia" w:ascii="Times New Roman" w:hAnsi="Times New Roman" w:cs="Calibri"/>
          <w:szCs w:val="22"/>
          <w:highlight w:val="none"/>
        </w:rPr>
        <w:t>联合制标单位</w:t>
      </w:r>
      <w:r>
        <w:rPr>
          <w:rFonts w:hint="default" w:ascii="Times New Roman" w:hAnsi="Times New Roman" w:cs="Calibri"/>
          <w:szCs w:val="22"/>
          <w:highlight w:val="none"/>
        </w:rPr>
        <w:t>青岛清原作物科学集团股份有限公司于2009年成立于山东省青岛市，公司致力于绿色农药创制与生物技术育种，组建了全球第五大的作物科学研发团队，截至2025年底，研发人员1000余人。主持国家级科技项目4项，参与6项。全球申请发明专利2600余件、授权655件，建有农业农村部作物生物育种与新品种培育重点实验室、绿色农药全国重点实验室（青岛）创制基地、柏连阳院士工作站、山东省基因编辑育种技术创新中心等，获2020年度国家科技进步二等奖。公司自主创制并在国内登记上市了7个专利化合物，2018-2019年创制的环吡氟草酮、三唑磺草酮等4个除草剂陆续上市，解决了三大主粮作物田抗性杂草治理难的问题，累计推广超3亿亩。“十四五”期间创制出了氟草啶等灭生性除草剂，有效解决草甘膦、草铵膦抗性日趋严重，百草枯禁用后药剂缺乏等问题。2018年以来清原获ISO命名农药化合物占全球总数的16%，占除草剂总数的41%。公司在生物技术育种领域成果突出，可实现30种主要农作物的遗传转化；发明了“Kingcas12基因剪刀”等基因编辑底层核心技术，发掘了耐专利除草剂基因、抗虫基因，实现了底层核心技术和关键基因的完全自主；研制的单载体含8个基因的超级玉米、大豆，标志着我国有望实现在第四代转基因产品上的领先，公司目前已获批5个主粮作物转基因生物安全证书，为我国大豆、玉米生物育种产业化发展提供了核心支撑</w:t>
      </w:r>
      <w:r>
        <w:rPr>
          <w:rFonts w:hint="eastAsia" w:ascii="Times New Roman" w:hAnsi="Times New Roman" w:cs="Calibri"/>
          <w:szCs w:val="22"/>
          <w:highlight w:val="none"/>
          <w:lang w:eastAsia="zh-CN"/>
        </w:rPr>
        <w:t>。</w:t>
      </w:r>
    </w:p>
    <w:p w14:paraId="64F41B63">
      <w:pPr>
        <w:bidi w:val="0"/>
        <w:spacing w:line="312" w:lineRule="auto"/>
        <w:ind w:firstLine="420" w:firstLineChars="200"/>
        <w:rPr>
          <w:rFonts w:hint="eastAsia" w:ascii="Times New Roman" w:hAnsi="Times New Roman" w:cs="Calibri"/>
          <w:szCs w:val="22"/>
          <w:highlight w:val="none"/>
          <w:lang w:eastAsia="zh-CN"/>
        </w:rPr>
      </w:pPr>
      <w:r>
        <w:rPr>
          <w:rFonts w:hint="eastAsia" w:ascii="Times New Roman" w:hAnsi="Times New Roman" w:cs="Calibri"/>
          <w:szCs w:val="22"/>
          <w:highlight w:val="none"/>
          <w:lang w:eastAsia="zh-CN"/>
        </w:rPr>
        <w:t>联合制标单位三亚中国农业科学院国家南繁研究院成立于2019年10月，中国农业科学院举办的事业型研究单位，是中国农科院全面支持海南自贸港和“南繁硅谷”建设的重要举措。南繁研究院围绕国家粮食安全、营养健康等重大战略需求，聚焦农业领域基础性、前沿性重大科学问题，结合海南自贸港及“南繁硅谷”战略布局，重点开展生物育种应用基础和育种前沿技术创新研究，培养高端农业科研人才，实现种业科技自立自强。南繁研究院已建成国家南繁作物表型研究设施、种业创新中心、国家野生稻种质资源圃一期等设施，农业农村部基因编辑创新利用重点实验室(海南)，同时三亚中国农业科学院国家南繁研究院及中国农科院各单位在三亚、乐东、陵水等建设有南繁基地10个，实验室3个，国家认定的转基因基地2个，农业部农业基因组学重点开放实验室等。此外在河北、山东、河南和辽宁等地建立了田间试验基地，为本项目顺利开展提供了重要的硬件支撑，可保证项目顺利实施。</w:t>
      </w:r>
    </w:p>
    <w:p w14:paraId="7913A29D">
      <w:pPr>
        <w:bidi w:val="0"/>
        <w:spacing w:line="312" w:lineRule="auto"/>
        <w:ind w:firstLine="420" w:firstLineChars="200"/>
        <w:rPr>
          <w:rFonts w:hint="eastAsia" w:ascii="Times New Roman" w:hAnsi="Times New Roman" w:cs="Calibri"/>
          <w:szCs w:val="22"/>
          <w:highlight w:val="none"/>
          <w:lang w:eastAsia="zh-CN"/>
        </w:rPr>
      </w:pPr>
      <w:r>
        <w:rPr>
          <w:rFonts w:hint="eastAsia" w:ascii="Times New Roman" w:hAnsi="Times New Roman" w:cs="Calibri"/>
          <w:szCs w:val="22"/>
          <w:highlight w:val="none"/>
          <w:lang w:eastAsia="zh-CN"/>
        </w:rPr>
        <w:t>联合制标单位山东省农业科学院位于山东省济南市，是山东省政府直属的综合性省级农业科研单位，是国家农业科技黄淮海创新中心和山东省农业科技创新中心承建单位。农业农村部农作物生态环境安全监督检验测试中心（济南）原农业部转基因植物环境安全监督检验测试中心（济南），挂靠山东省农业科学院植物保护研究所，隶属山东省农业科学院归口管理。2008年中心首次通过国家计量认证、农业部审查认可和农产品质量安全检测机构考核，又分别于2011年6月、2014年11月、2018年5月通过现场复审，获得农产品质量安全检测机构考核合格证书、机构审查认可证书和检验检测机构资质认定证书。2018年5月14日，农业农村部公告第25号，中心正式更名为“农业农村部农作物生态环境安全监督检验测试中心（济南）”。中心现有工作人员18人，其中高级职称8人、中级职称2人，博士5人、硕士8人；室内实验场所750平方米，配备实时荧光定量PCR仪、PCR仪、酶标仪、凝胶成像系统等配套仪器设备40余台（套）；试验基地安全规范、隔离控制等设施条件配套齐全，主要开展转基因植物及其产品成分检测技术研究，环境安全性评价等工作，承担农业农村部行业标准制修订及验证任务，承担国家和省市下达的转基因生物安全监测与检测任务、国内外企事业单位委托的各类转基因作物环境安全性评价等。中心自成立以来，共主持参与国家转基因重大专项12项，主持和参与制订转基因植物及其产品成分检测国家标准13项，发表论文50余篇，其中SCI论文13篇；获得授权发明专利10项、软件著作权10项；获得省级科技进步奖3项；累计参加20余项转基因成分检测标准复核验证及标准物质定值工作。</w:t>
      </w:r>
    </w:p>
    <w:p w14:paraId="16AA695A">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eastAsia="黑体" w:cs="Calibri"/>
          <w:b w:val="0"/>
          <w:sz w:val="21"/>
          <w:highlight w:val="none"/>
          <w:lang w:val="en-US" w:eastAsia="zh-CN"/>
        </w:rPr>
      </w:pPr>
      <w:bookmarkStart w:id="4" w:name="_Toc28889"/>
      <w:r>
        <w:rPr>
          <w:rFonts w:hint="eastAsia" w:eastAsia="黑体" w:cs="Calibri"/>
          <w:b w:val="0"/>
          <w:sz w:val="21"/>
          <w:highlight w:val="none"/>
          <w:lang w:val="en-US" w:eastAsia="zh-CN"/>
        </w:rPr>
        <w:t>（四）起草过程</w:t>
      </w:r>
      <w:bookmarkEnd w:id="4"/>
    </w:p>
    <w:p w14:paraId="773A641A">
      <w:pPr>
        <w:pStyle w:val="4"/>
        <w:bidi w:val="0"/>
        <w:spacing w:before="50" w:beforeLines="50" w:after="50" w:afterLines="50" w:line="240" w:lineRule="auto"/>
        <w:ind w:firstLine="420" w:firstLineChars="200"/>
        <w:rPr>
          <w:rFonts w:hint="eastAsia" w:ascii="Times New Roman" w:hAnsi="Times New Roman" w:eastAsia="黑体" w:cs="Calibri"/>
          <w:b w:val="0"/>
          <w:sz w:val="21"/>
          <w:lang w:eastAsia="zh-CN"/>
        </w:rPr>
      </w:pPr>
      <w:r>
        <w:rPr>
          <w:rFonts w:hint="eastAsia" w:ascii="Times New Roman" w:hAnsi="Times New Roman" w:eastAsia="黑体" w:cs="Calibri"/>
          <w:b w:val="0"/>
          <w:sz w:val="21"/>
          <w:lang w:val="en-US" w:eastAsia="zh-CN"/>
        </w:rPr>
        <w:t xml:space="preserve">1. </w:t>
      </w:r>
      <w:r>
        <w:rPr>
          <w:rFonts w:ascii="Times New Roman" w:hAnsi="Times New Roman" w:eastAsia="黑体" w:cs="Calibri"/>
          <w:b w:val="0"/>
          <w:sz w:val="21"/>
        </w:rPr>
        <w:t>前期准备</w:t>
      </w:r>
    </w:p>
    <w:p w14:paraId="0C62CF56">
      <w:pPr>
        <w:bidi w:val="0"/>
        <w:spacing w:line="312" w:lineRule="auto"/>
        <w:ind w:firstLine="420" w:firstLineChars="200"/>
        <w:rPr>
          <w:rFonts w:ascii="Times New Roman" w:hAnsi="Times New Roman" w:cs="Calibri"/>
          <w:szCs w:val="22"/>
          <w:highlight w:val="none"/>
        </w:rPr>
      </w:pPr>
      <w:r>
        <w:rPr>
          <w:rFonts w:hint="eastAsia" w:ascii="Times New Roman" w:hAnsi="Times New Roman" w:cs="Calibri"/>
          <w:szCs w:val="22"/>
          <w:highlight w:val="none"/>
        </w:rPr>
        <w:t>任务下达后，按照工作需要我们及时组成了标准制定工作组，并根据实际情况初步确定了标准制定的工作计划及技术路线。工作组仔细分析了抗虫耐除草剂玉米</w:t>
      </w:r>
      <w:r>
        <w:rPr>
          <w:rFonts w:hint="eastAsia" w:cs="Calibri"/>
          <w:szCs w:val="22"/>
          <w:highlight w:val="none"/>
          <w:lang w:eastAsia="zh-CN"/>
        </w:rPr>
        <w:t>QY2569-42</w:t>
      </w:r>
      <w:r>
        <w:rPr>
          <w:rFonts w:hint="eastAsia" w:ascii="Times New Roman" w:hAnsi="Times New Roman" w:cs="Calibri"/>
          <w:szCs w:val="22"/>
          <w:highlight w:val="none"/>
        </w:rPr>
        <w:t>培育单位提供的相关背景信息和资料，研究和分析了</w:t>
      </w:r>
      <w:r>
        <w:rPr>
          <w:rFonts w:hint="eastAsia" w:cs="Calibri"/>
          <w:szCs w:val="22"/>
          <w:highlight w:val="none"/>
          <w:lang w:eastAsia="zh-CN"/>
        </w:rPr>
        <w:t>QY2569-42</w:t>
      </w:r>
      <w:r>
        <w:rPr>
          <w:rFonts w:hint="eastAsia" w:ascii="Times New Roman" w:hAnsi="Times New Roman" w:cs="Calibri"/>
          <w:szCs w:val="22"/>
          <w:highlight w:val="none"/>
        </w:rPr>
        <w:t>转化体特异性序列，同时还查阅了大量资料，参考了《转基因植物及其产品成分检测 定性PCR方法制定指南》（农业部2259号公告—4—2015）</w:t>
      </w:r>
      <w:r>
        <w:rPr>
          <w:rFonts w:hint="eastAsia" w:ascii="Times New Roman" w:hAnsi="Times New Roman" w:cs="Calibri"/>
          <w:szCs w:val="22"/>
          <w:highlight w:val="none"/>
          <w:vertAlign w:val="superscript"/>
        </w:rPr>
        <w:t>[</w:t>
      </w:r>
      <w:r>
        <w:rPr>
          <w:rFonts w:hint="eastAsia" w:ascii="Times New Roman" w:hAnsi="Times New Roman" w:cs="Calibri"/>
          <w:szCs w:val="22"/>
          <w:highlight w:val="none"/>
          <w:vertAlign w:val="superscript"/>
          <w:lang w:val="en-US" w:eastAsia="zh-CN"/>
        </w:rPr>
        <w:t>3</w:t>
      </w:r>
      <w:r>
        <w:rPr>
          <w:rFonts w:hint="eastAsia" w:ascii="Times New Roman" w:hAnsi="Times New Roman" w:cs="Calibri"/>
          <w:szCs w:val="22"/>
          <w:highlight w:val="none"/>
          <w:vertAlign w:val="superscript"/>
        </w:rPr>
        <w:t>]</w:t>
      </w:r>
      <w:r>
        <w:rPr>
          <w:rFonts w:hint="eastAsia" w:ascii="Times New Roman" w:hAnsi="Times New Roman" w:cs="Calibri"/>
          <w:szCs w:val="22"/>
          <w:highlight w:val="none"/>
          <w:lang w:eastAsia="zh-CN"/>
        </w:rPr>
        <w:t>、</w:t>
      </w:r>
      <w:r>
        <w:rPr>
          <w:rFonts w:hint="eastAsia" w:ascii="Times New Roman" w:hAnsi="Times New Roman" w:cs="Calibri"/>
          <w:szCs w:val="22"/>
          <w:highlight w:val="none"/>
        </w:rPr>
        <w:t>《转基因植物及其产品成分检测 实时荧光定量PCR方法制定指南》（农业部2259号公告—5—2015）</w:t>
      </w:r>
      <w:r>
        <w:rPr>
          <w:rFonts w:hint="eastAsia" w:ascii="Times New Roman" w:hAnsi="Times New Roman" w:cs="Calibri"/>
          <w:szCs w:val="22"/>
          <w:highlight w:val="none"/>
          <w:vertAlign w:val="superscript"/>
        </w:rPr>
        <w:t>[4]</w:t>
      </w:r>
      <w:r>
        <w:rPr>
          <w:rFonts w:hint="eastAsia" w:ascii="Times New Roman" w:hAnsi="Times New Roman" w:cs="Calibri"/>
          <w:szCs w:val="22"/>
          <w:highlight w:val="none"/>
        </w:rPr>
        <w:t>等相关标准和文件，并按照《标准化工作导则</w:t>
      </w:r>
      <w:r>
        <w:rPr>
          <w:rFonts w:hint="eastAsia" w:ascii="Times New Roman" w:hAnsi="Times New Roman" w:cs="Calibri"/>
          <w:szCs w:val="22"/>
          <w:highlight w:val="none"/>
          <w:lang w:val="en-US" w:eastAsia="zh-CN"/>
        </w:rPr>
        <w:t xml:space="preserve"> </w:t>
      </w:r>
      <w:r>
        <w:rPr>
          <w:rFonts w:hint="eastAsia" w:ascii="Times New Roman" w:hAnsi="Times New Roman" w:cs="Calibri"/>
          <w:szCs w:val="22"/>
          <w:highlight w:val="none"/>
        </w:rPr>
        <w:t xml:space="preserve"> 第1部分：标准化文件的结构和起草规则》（GB/T 1.1—2020）</w:t>
      </w:r>
      <w:r>
        <w:rPr>
          <w:rFonts w:hint="eastAsia" w:ascii="Times New Roman" w:hAnsi="Times New Roman" w:cs="Calibri"/>
          <w:szCs w:val="22"/>
          <w:highlight w:val="none"/>
          <w:vertAlign w:val="superscript"/>
        </w:rPr>
        <w:t>[5]</w:t>
      </w:r>
      <w:r>
        <w:rPr>
          <w:rFonts w:hint="eastAsia" w:ascii="Times New Roman" w:hAnsi="Times New Roman" w:cs="Calibri"/>
          <w:szCs w:val="22"/>
          <w:highlight w:val="none"/>
        </w:rPr>
        <w:t>要求进行标准的撰写工作。</w:t>
      </w:r>
    </w:p>
    <w:p w14:paraId="6921119B">
      <w:pPr>
        <w:pStyle w:val="4"/>
        <w:keepNext/>
        <w:keepLines/>
        <w:pageBreakBefore w:val="0"/>
        <w:widowControl w:val="0"/>
        <w:numPr>
          <w:ilvl w:val="0"/>
          <w:numId w:val="1"/>
        </w:numPr>
        <w:kinsoku/>
        <w:wordWrap/>
        <w:overflowPunct/>
        <w:topLinePunct w:val="0"/>
        <w:autoSpaceDE/>
        <w:autoSpaceDN/>
        <w:bidi w:val="0"/>
        <w:adjustRightInd/>
        <w:snapToGrid/>
        <w:spacing w:before="50" w:beforeLines="50" w:after="50" w:afterLines="50" w:line="240" w:lineRule="auto"/>
        <w:ind w:firstLine="420" w:firstLineChars="200"/>
        <w:textAlignment w:val="auto"/>
        <w:rPr>
          <w:rFonts w:hint="eastAsia" w:ascii="Times New Roman" w:hAnsi="Times New Roman" w:eastAsia="黑体" w:cs="Calibri"/>
          <w:b w:val="0"/>
          <w:sz w:val="21"/>
          <w:lang w:val="en-US" w:eastAsia="zh-CN"/>
        </w:rPr>
      </w:pPr>
      <w:r>
        <w:rPr>
          <w:rFonts w:hint="eastAsia" w:ascii="Times New Roman" w:hAnsi="Times New Roman" w:eastAsia="黑体" w:cs="Calibri"/>
          <w:b w:val="0"/>
          <w:sz w:val="21"/>
          <w:lang w:val="en-US" w:eastAsia="zh-CN"/>
        </w:rPr>
        <w:t>方法建立</w:t>
      </w:r>
    </w:p>
    <w:p w14:paraId="764A1741">
      <w:pPr>
        <w:bidi w:val="0"/>
        <w:spacing w:line="312" w:lineRule="auto"/>
        <w:ind w:firstLine="420" w:firstLineChars="200"/>
        <w:rPr>
          <w:rFonts w:eastAsia="仿宋"/>
          <w:b/>
          <w:sz w:val="32"/>
          <w:szCs w:val="32"/>
        </w:rPr>
      </w:pPr>
      <w:r>
        <w:rPr>
          <w:rFonts w:ascii="Times New Roman" w:hAnsi="Times New Roman" w:cs="Calibri"/>
          <w:szCs w:val="22"/>
          <w:highlight w:val="none"/>
        </w:rPr>
        <w:t>根据</w:t>
      </w:r>
      <w:r>
        <w:rPr>
          <w:rFonts w:hint="default" w:ascii="Times New Roman" w:hAnsi="Times New Roman" w:eastAsia="宋体" w:cs="Times New Roman"/>
          <w:color w:val="auto"/>
          <w:sz w:val="21"/>
          <w:szCs w:val="21"/>
          <w:highlight w:val="none"/>
          <w:lang w:bidi="ar"/>
        </w:rPr>
        <w:t>青岛清原化合物有限公司</w:t>
      </w:r>
      <w:r>
        <w:rPr>
          <w:rFonts w:ascii="Times New Roman" w:hAnsi="Times New Roman" w:cs="Calibri"/>
          <w:szCs w:val="22"/>
          <w:highlight w:val="none"/>
        </w:rPr>
        <w:t>提供的抗虫耐除草剂玉米</w:t>
      </w:r>
      <w:r>
        <w:rPr>
          <w:rFonts w:hint="eastAsia" w:cs="Calibri"/>
          <w:szCs w:val="22"/>
          <w:highlight w:val="none"/>
          <w:lang w:eastAsia="zh-CN"/>
        </w:rPr>
        <w:t>QY2569-42</w:t>
      </w:r>
      <w:r>
        <w:rPr>
          <w:rFonts w:ascii="Times New Roman" w:hAnsi="Times New Roman" w:cs="Calibri"/>
          <w:szCs w:val="22"/>
          <w:highlight w:val="none"/>
        </w:rPr>
        <w:t>序列，对标准制定过程中使用到的碱基序列，设计引物进行扩增并测序，对碱基序列进行确认，并确认原材料、文字资料、特征序列的一致性。在此基础上，根据序列信息设计了一系列转化体特异性实时荧光PCR定性和定量检测方法引物/探针和普通PCR定性方法检测引物，分别进行引物、探针的设计和优化、PCR扩增条件和反应体系优化、特异性分析、标准曲线建立、灵敏度测试、准确性测试、检出限和定量限确认等实验，建立了抗虫耐除草剂玉米</w:t>
      </w:r>
      <w:r>
        <w:rPr>
          <w:rFonts w:hint="eastAsia" w:cs="Calibri"/>
          <w:szCs w:val="22"/>
          <w:highlight w:val="none"/>
          <w:lang w:eastAsia="zh-CN"/>
        </w:rPr>
        <w:t>QY2569-42</w:t>
      </w:r>
      <w:r>
        <w:rPr>
          <w:rFonts w:ascii="Times New Roman" w:hAnsi="Times New Roman" w:cs="Calibri"/>
          <w:szCs w:val="22"/>
          <w:highlight w:val="none"/>
        </w:rPr>
        <w:t>转化体特异性实时荧光PCR定性检测方法、实时荧光PCR定量检测方法和普通PCR定性检测方法。</w:t>
      </w:r>
    </w:p>
    <w:p w14:paraId="3AA7E6E6">
      <w:pPr>
        <w:pStyle w:val="4"/>
        <w:numPr>
          <w:ilvl w:val="0"/>
          <w:numId w:val="1"/>
        </w:numPr>
        <w:bidi w:val="0"/>
        <w:spacing w:before="50" w:beforeLines="50" w:after="50" w:afterLines="50" w:line="240" w:lineRule="auto"/>
        <w:ind w:firstLine="420" w:firstLineChars="200"/>
        <w:rPr>
          <w:rFonts w:hint="eastAsia" w:ascii="Times New Roman" w:hAnsi="Times New Roman" w:eastAsia="黑体" w:cs="Calibri"/>
          <w:b w:val="0"/>
          <w:sz w:val="21"/>
          <w:lang w:val="en-US" w:eastAsia="zh-CN"/>
        </w:rPr>
      </w:pPr>
      <w:r>
        <w:rPr>
          <w:rFonts w:hint="eastAsia" w:ascii="Times New Roman" w:hAnsi="Times New Roman" w:eastAsia="黑体" w:cs="Calibri"/>
          <w:b w:val="0"/>
          <w:sz w:val="21"/>
          <w:lang w:val="en-US" w:eastAsia="zh-CN"/>
        </w:rPr>
        <w:t>文本起草和征求意见</w:t>
      </w:r>
    </w:p>
    <w:p w14:paraId="3BA1626C">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本次标准制定是按照《标准化工作导则 第1部分：标准化文件的结构和起草规则》（GB/T 1.1—2020）</w:t>
      </w:r>
      <w:r>
        <w:rPr>
          <w:rFonts w:ascii="Times New Roman" w:hAnsi="Times New Roman" w:cs="Calibri"/>
          <w:szCs w:val="22"/>
          <w:highlight w:val="none"/>
          <w:vertAlign w:val="superscript"/>
        </w:rPr>
        <w:t>[</w:t>
      </w:r>
      <w:r>
        <w:rPr>
          <w:rFonts w:hint="eastAsia" w:ascii="Times New Roman" w:hAnsi="Times New Roman" w:cs="Calibri"/>
          <w:szCs w:val="22"/>
          <w:highlight w:val="none"/>
          <w:vertAlign w:val="superscript"/>
          <w:lang w:val="en-US" w:eastAsia="zh-CN"/>
        </w:rPr>
        <w:t>5</w:t>
      </w:r>
      <w:r>
        <w:rPr>
          <w:rFonts w:ascii="Times New Roman" w:hAnsi="Times New Roman" w:cs="Calibri"/>
          <w:szCs w:val="22"/>
          <w:highlight w:val="none"/>
          <w:vertAlign w:val="superscript"/>
        </w:rPr>
        <w:t>]</w:t>
      </w:r>
      <w:r>
        <w:rPr>
          <w:rFonts w:ascii="Times New Roman" w:hAnsi="Times New Roman" w:cs="Calibri"/>
          <w:szCs w:val="22"/>
          <w:highlight w:val="none"/>
        </w:rPr>
        <w:t>，参照已发布的转基因植物及其产品成分检测标准，结合实验研究的抗虫耐除草剂玉米</w:t>
      </w:r>
      <w:r>
        <w:rPr>
          <w:rFonts w:hint="eastAsia" w:cs="Calibri"/>
          <w:szCs w:val="22"/>
          <w:highlight w:val="none"/>
          <w:lang w:eastAsia="zh-CN"/>
        </w:rPr>
        <w:t>QY2569-42</w:t>
      </w:r>
      <w:r>
        <w:rPr>
          <w:rFonts w:ascii="Times New Roman" w:hAnsi="Times New Roman" w:cs="Calibri"/>
          <w:szCs w:val="22"/>
          <w:highlight w:val="none"/>
        </w:rPr>
        <w:t>转化体特异性实时荧光PCR定性检测方法、实时荧光PCR定量检测方法和普通PCR定性检测方法，编写《转基因植物及其产品成分检测 抗虫耐除草剂玉米</w:t>
      </w:r>
      <w:r>
        <w:rPr>
          <w:rFonts w:hint="eastAsia" w:cs="Calibri"/>
          <w:szCs w:val="22"/>
          <w:highlight w:val="none"/>
          <w:lang w:eastAsia="zh-CN"/>
        </w:rPr>
        <w:t>QY2569-42</w:t>
      </w:r>
      <w:r>
        <w:rPr>
          <w:rFonts w:ascii="Times New Roman" w:hAnsi="Times New Roman" w:cs="Calibri"/>
          <w:szCs w:val="22"/>
          <w:highlight w:val="none"/>
        </w:rPr>
        <w:t>转化体特异性PCR方法》标准征求意见稿，送有关单位和专家征求意见，收集整理专家回复的意见，并对征求意见稿的文本进行修改完善。</w:t>
      </w:r>
    </w:p>
    <w:p w14:paraId="582FDF8B">
      <w:pPr>
        <w:pStyle w:val="4"/>
        <w:numPr>
          <w:ilvl w:val="0"/>
          <w:numId w:val="1"/>
        </w:numPr>
        <w:bidi w:val="0"/>
        <w:spacing w:before="50" w:beforeLines="50" w:after="50" w:afterLines="50" w:line="240" w:lineRule="auto"/>
        <w:ind w:firstLine="420" w:firstLineChars="200"/>
        <w:rPr>
          <w:rFonts w:hint="eastAsia" w:ascii="Times New Roman" w:hAnsi="Times New Roman" w:eastAsia="黑体" w:cs="Calibri"/>
          <w:b w:val="0"/>
          <w:sz w:val="21"/>
          <w:lang w:val="en-US" w:eastAsia="zh-CN"/>
        </w:rPr>
      </w:pPr>
      <w:r>
        <w:rPr>
          <w:rFonts w:hint="eastAsia" w:ascii="Times New Roman" w:hAnsi="Times New Roman" w:eastAsia="黑体" w:cs="Calibri"/>
          <w:b w:val="0"/>
          <w:sz w:val="21"/>
          <w:lang w:val="en-US" w:eastAsia="zh-CN"/>
        </w:rPr>
        <w:t>标准方法验证</w:t>
      </w:r>
    </w:p>
    <w:p w14:paraId="24C5FDD0">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制定标准文本验证方案（详见附件</w:t>
      </w:r>
      <w:r>
        <w:rPr>
          <w:rFonts w:hint="eastAsia" w:ascii="Times New Roman" w:hAnsi="Times New Roman" w:cs="Calibri"/>
          <w:szCs w:val="22"/>
          <w:highlight w:val="none"/>
          <w:lang w:val="en-US" w:eastAsia="zh-CN"/>
        </w:rPr>
        <w:t>1</w:t>
      </w:r>
      <w:r>
        <w:rPr>
          <w:rFonts w:ascii="Times New Roman" w:hAnsi="Times New Roman" w:cs="Calibri"/>
          <w:szCs w:val="22"/>
          <w:highlight w:val="none"/>
        </w:rPr>
        <w:t>-1），并按验证方案的要求准备验证样品，邀请</w:t>
      </w:r>
      <w:r>
        <w:rPr>
          <w:rFonts w:hint="eastAsia" w:ascii="Times New Roman" w:hAnsi="Times New Roman" w:cs="Calibri"/>
          <w:szCs w:val="22"/>
          <w:highlight w:val="none"/>
        </w:rPr>
        <w:t>农业农村部农产品及加工品质量安全检验测试中心（杭州）</w:t>
      </w:r>
      <w:r>
        <w:rPr>
          <w:rFonts w:hint="eastAsia" w:ascii="Times New Roman" w:hAnsi="Times New Roman" w:cs="Calibri"/>
          <w:szCs w:val="22"/>
          <w:highlight w:val="none"/>
          <w:lang w:eastAsia="zh-CN"/>
        </w:rPr>
        <w:t>、</w:t>
      </w:r>
      <w:r>
        <w:rPr>
          <w:rFonts w:hint="eastAsia" w:ascii="Times New Roman" w:hAnsi="Times New Roman" w:cs="Calibri"/>
          <w:szCs w:val="22"/>
          <w:highlight w:val="none"/>
        </w:rPr>
        <w:t>农业农村部</w:t>
      </w:r>
      <w:r>
        <w:rPr>
          <w:rFonts w:hint="eastAsia" w:ascii="Times New Roman" w:hAnsi="Times New Roman" w:cs="Calibri"/>
          <w:szCs w:val="22"/>
          <w:highlight w:val="none"/>
          <w:lang w:eastAsia="zh-CN"/>
        </w:rPr>
        <w:t>农作物种子</w:t>
      </w:r>
      <w:r>
        <w:rPr>
          <w:rFonts w:hint="eastAsia" w:ascii="Times New Roman" w:hAnsi="Times New Roman" w:cs="Calibri"/>
          <w:szCs w:val="22"/>
          <w:highlight w:val="none"/>
        </w:rPr>
        <w:t>质量检验测试中心（</w:t>
      </w:r>
      <w:r>
        <w:rPr>
          <w:rFonts w:hint="eastAsia" w:ascii="Times New Roman" w:hAnsi="Times New Roman" w:cs="Calibri"/>
          <w:szCs w:val="22"/>
          <w:highlight w:val="none"/>
          <w:lang w:eastAsia="zh-CN"/>
        </w:rPr>
        <w:t>深圳</w:t>
      </w:r>
      <w:r>
        <w:rPr>
          <w:rFonts w:hint="eastAsia" w:ascii="Times New Roman" w:hAnsi="Times New Roman" w:cs="Calibri"/>
          <w:szCs w:val="22"/>
          <w:highlight w:val="none"/>
        </w:rPr>
        <w:t>）、农业农村部农作物生态环境安全检验测试中心（合肥）、</w:t>
      </w:r>
      <w:r>
        <w:rPr>
          <w:rFonts w:hint="eastAsia" w:ascii="Times New Roman" w:hAnsi="Times New Roman" w:cs="Calibri"/>
          <w:szCs w:val="22"/>
          <w:highlight w:val="none"/>
          <w:lang w:eastAsia="zh-CN"/>
        </w:rPr>
        <w:t>农业农村部农产品及加工品</w:t>
      </w:r>
      <w:r>
        <w:rPr>
          <w:rFonts w:hint="eastAsia" w:ascii="Times New Roman" w:hAnsi="Times New Roman" w:cs="Calibri"/>
          <w:szCs w:val="22"/>
          <w:highlight w:val="none"/>
        </w:rPr>
        <w:t>检验测试中心（</w:t>
      </w:r>
      <w:r>
        <w:rPr>
          <w:rFonts w:hint="eastAsia" w:ascii="Times New Roman" w:hAnsi="Times New Roman" w:cs="Calibri"/>
          <w:szCs w:val="22"/>
          <w:highlight w:val="none"/>
          <w:lang w:eastAsia="zh-CN"/>
        </w:rPr>
        <w:t>南京</w:t>
      </w:r>
      <w:r>
        <w:rPr>
          <w:rFonts w:hint="eastAsia" w:ascii="Times New Roman" w:hAnsi="Times New Roman" w:cs="Calibri"/>
          <w:szCs w:val="22"/>
          <w:highlight w:val="none"/>
        </w:rPr>
        <w:t>）、农业农村部农作物生态环境安全检验测试中心（上海）、农业农村部植物及植物用微生物生态环境安全检验测试中心（广州）、农业农村部</w:t>
      </w:r>
      <w:r>
        <w:rPr>
          <w:rFonts w:hint="eastAsia" w:ascii="Times New Roman" w:hAnsi="Times New Roman" w:cs="Calibri"/>
          <w:szCs w:val="22"/>
          <w:highlight w:val="none"/>
          <w:lang w:eastAsia="zh-CN"/>
        </w:rPr>
        <w:t>农作物及产品质量</w:t>
      </w:r>
      <w:r>
        <w:rPr>
          <w:rFonts w:hint="eastAsia" w:ascii="Times New Roman" w:hAnsi="Times New Roman" w:cs="Calibri"/>
          <w:szCs w:val="22"/>
          <w:highlight w:val="none"/>
        </w:rPr>
        <w:t>检验测试中心（</w:t>
      </w:r>
      <w:r>
        <w:rPr>
          <w:rFonts w:hint="eastAsia" w:ascii="Times New Roman" w:hAnsi="Times New Roman" w:cs="Calibri"/>
          <w:szCs w:val="22"/>
          <w:highlight w:val="none"/>
          <w:lang w:eastAsia="zh-CN"/>
        </w:rPr>
        <w:t>哈尔滨</w:t>
      </w:r>
      <w:r>
        <w:rPr>
          <w:rFonts w:hint="eastAsia" w:ascii="Times New Roman" w:hAnsi="Times New Roman" w:cs="Calibri"/>
          <w:szCs w:val="22"/>
          <w:highlight w:val="none"/>
        </w:rPr>
        <w:t>）和农业农村部</w:t>
      </w:r>
      <w:r>
        <w:rPr>
          <w:rFonts w:hint="eastAsia" w:ascii="Times New Roman" w:hAnsi="Times New Roman" w:cs="Calibri"/>
          <w:szCs w:val="22"/>
          <w:highlight w:val="none"/>
          <w:lang w:eastAsia="zh-CN"/>
        </w:rPr>
        <w:t>谷物及制品质量</w:t>
      </w:r>
      <w:r>
        <w:rPr>
          <w:rFonts w:hint="eastAsia" w:ascii="Times New Roman" w:hAnsi="Times New Roman" w:cs="Calibri"/>
          <w:szCs w:val="22"/>
          <w:highlight w:val="none"/>
        </w:rPr>
        <w:t>检验测试中心（</w:t>
      </w:r>
      <w:r>
        <w:rPr>
          <w:rFonts w:hint="eastAsia" w:ascii="Times New Roman" w:hAnsi="Times New Roman" w:cs="Calibri"/>
          <w:szCs w:val="22"/>
          <w:highlight w:val="none"/>
          <w:lang w:eastAsia="zh-CN"/>
        </w:rPr>
        <w:t>哈尔滨</w:t>
      </w:r>
      <w:r>
        <w:rPr>
          <w:rFonts w:hint="eastAsia" w:ascii="Times New Roman" w:hAnsi="Times New Roman" w:cs="Calibri"/>
          <w:szCs w:val="22"/>
          <w:highlight w:val="none"/>
        </w:rPr>
        <w:t>）</w:t>
      </w:r>
      <w:r>
        <w:rPr>
          <w:rFonts w:hint="eastAsia" w:ascii="Times New Roman" w:hAnsi="Times New Roman" w:cs="Calibri"/>
          <w:szCs w:val="22"/>
          <w:highlight w:val="none"/>
          <w:lang w:eastAsia="zh-CN"/>
        </w:rPr>
        <w:t>共</w:t>
      </w:r>
      <w:r>
        <w:rPr>
          <w:rFonts w:ascii="Times New Roman" w:hAnsi="Times New Roman" w:cs="Calibri"/>
          <w:szCs w:val="22"/>
          <w:highlight w:val="none"/>
        </w:rPr>
        <w:t>8个第三方检测机构对本标准方法特异性、灵敏度、准确度和精密度进行验证分析，并对标准的科学性、先进性和适用性进行综合评价。</w:t>
      </w:r>
    </w:p>
    <w:p w14:paraId="1E33AEDE">
      <w:pPr>
        <w:pStyle w:val="4"/>
        <w:numPr>
          <w:ilvl w:val="0"/>
          <w:numId w:val="1"/>
        </w:numPr>
        <w:bidi w:val="0"/>
        <w:spacing w:before="50" w:beforeLines="50" w:after="50" w:afterLines="50" w:line="240" w:lineRule="auto"/>
        <w:ind w:firstLine="420" w:firstLineChars="200"/>
        <w:rPr>
          <w:rFonts w:hint="eastAsia" w:ascii="Times New Roman" w:hAnsi="Times New Roman" w:eastAsia="黑体" w:cs="Calibri"/>
          <w:b w:val="0"/>
          <w:sz w:val="21"/>
          <w:lang w:val="en-US" w:eastAsia="zh-CN"/>
        </w:rPr>
      </w:pPr>
      <w:r>
        <w:rPr>
          <w:rFonts w:hint="eastAsia" w:ascii="Times New Roman" w:hAnsi="Times New Roman" w:eastAsia="黑体" w:cs="Calibri"/>
          <w:b w:val="0"/>
          <w:sz w:val="21"/>
          <w:lang w:val="en-US" w:eastAsia="zh-CN"/>
        </w:rPr>
        <w:t>验证数据的汇总分析、标准文本完善与送审</w:t>
      </w:r>
    </w:p>
    <w:p w14:paraId="2E0FCCE4">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汇总分析8个实验室的验证结果，组织专家对修改完善的征求意见稿文本、验证方案和验证结果及分析汇总结论、标准的编制说明等相关材料进行预审。根据专家意见进一步修改完善相关材料，形成标准送审稿及编制说明等相关资料，提交全国农业转基因生物安全管理标准化技术委员会进行审定。</w:t>
      </w:r>
    </w:p>
    <w:p w14:paraId="1E8AD28A">
      <w:pPr>
        <w:pStyle w:val="2"/>
        <w:numPr>
          <w:ilvl w:val="0"/>
          <w:numId w:val="0"/>
        </w:numPr>
        <w:bidi w:val="0"/>
        <w:rPr>
          <w:rFonts w:hint="eastAsia"/>
          <w:highlight w:val="none"/>
        </w:rPr>
      </w:pPr>
      <w:bookmarkStart w:id="5" w:name="_Toc9356"/>
      <w:r>
        <w:rPr>
          <w:rFonts w:hint="eastAsia"/>
          <w:highlight w:val="none"/>
        </w:rPr>
        <w:t>二、编制原则、标准的主要内容、技术参数的确定</w:t>
      </w:r>
      <w:bookmarkEnd w:id="5"/>
    </w:p>
    <w:p w14:paraId="3C2C0506">
      <w:pPr>
        <w:pStyle w:val="3"/>
        <w:bidi w:val="0"/>
      </w:pPr>
      <w:bookmarkStart w:id="6" w:name="_Toc7810"/>
      <w:r>
        <w:t>（一）编制原则</w:t>
      </w:r>
      <w:bookmarkEnd w:id="6"/>
    </w:p>
    <w:p w14:paraId="2A9FE2E8">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本标准的制定过程中遵循了以下几项原则：</w:t>
      </w:r>
    </w:p>
    <w:p w14:paraId="4DFB49B6">
      <w:pPr>
        <w:pStyle w:val="3"/>
        <w:keepNext/>
        <w:keepLines/>
        <w:pageBreakBefore w:val="0"/>
        <w:widowControl w:val="0"/>
        <w:numPr>
          <w:ilvl w:val="0"/>
          <w:numId w:val="2"/>
        </w:numPr>
        <w:kinsoku/>
        <w:wordWrap/>
        <w:overflowPunct/>
        <w:topLinePunct w:val="0"/>
        <w:autoSpaceDE/>
        <w:autoSpaceDN/>
        <w:bidi w:val="0"/>
        <w:adjustRightInd/>
        <w:snapToGrid/>
        <w:spacing w:before="50" w:after="50" w:line="240" w:lineRule="auto"/>
        <w:ind w:firstLine="420" w:firstLineChars="200"/>
        <w:textAlignment w:val="auto"/>
        <w:rPr>
          <w:rFonts w:ascii="Times New Roman" w:hAnsi="Times New Roman" w:eastAsia="黑体" w:cs="Calibri"/>
          <w:b w:val="0"/>
          <w:sz w:val="21"/>
        </w:rPr>
      </w:pPr>
      <w:bookmarkStart w:id="7" w:name="_Toc4638"/>
      <w:r>
        <w:rPr>
          <w:rFonts w:ascii="Times New Roman" w:hAnsi="Times New Roman" w:eastAsia="黑体" w:cs="Calibri"/>
          <w:b w:val="0"/>
          <w:sz w:val="21"/>
        </w:rPr>
        <w:t>科学性</w:t>
      </w:r>
      <w:bookmarkEnd w:id="7"/>
    </w:p>
    <w:p w14:paraId="746BE61A">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在检测方法的选择、技术指标的确定、结果分析判断等方面首先确保科学，在标准适用范围规定的界限内力求完整，在标准文本编制过程中力求做到技术内容的表述科学准确、清晰易懂。</w:t>
      </w:r>
    </w:p>
    <w:p w14:paraId="71B5199F">
      <w:pPr>
        <w:pStyle w:val="3"/>
        <w:keepNext/>
        <w:keepLines/>
        <w:pageBreakBefore w:val="0"/>
        <w:widowControl w:val="0"/>
        <w:numPr>
          <w:ilvl w:val="0"/>
          <w:numId w:val="2"/>
        </w:numPr>
        <w:kinsoku/>
        <w:wordWrap/>
        <w:overflowPunct/>
        <w:topLinePunct w:val="0"/>
        <w:autoSpaceDE/>
        <w:autoSpaceDN/>
        <w:bidi w:val="0"/>
        <w:adjustRightInd/>
        <w:snapToGrid/>
        <w:spacing w:before="50" w:after="50" w:line="240" w:lineRule="auto"/>
        <w:ind w:firstLine="420" w:firstLineChars="200"/>
        <w:textAlignment w:val="auto"/>
        <w:rPr>
          <w:rFonts w:ascii="Times New Roman" w:hAnsi="Times New Roman" w:eastAsia="黑体" w:cs="Calibri"/>
          <w:b w:val="0"/>
          <w:sz w:val="21"/>
        </w:rPr>
      </w:pPr>
      <w:bookmarkStart w:id="8" w:name="_Toc28864"/>
      <w:r>
        <w:rPr>
          <w:rFonts w:ascii="Times New Roman" w:hAnsi="Times New Roman" w:eastAsia="黑体" w:cs="Calibri"/>
          <w:b w:val="0"/>
          <w:sz w:val="21"/>
          <w:lang w:val="en-US" w:eastAsia="zh-CN"/>
        </w:rPr>
        <w:t>先进性</w:t>
      </w:r>
      <w:bookmarkEnd w:id="8"/>
    </w:p>
    <w:p w14:paraId="191DD117">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eastAsia="仿宋"/>
          <w:b/>
          <w:sz w:val="32"/>
          <w:szCs w:val="32"/>
        </w:rPr>
      </w:pPr>
      <w:r>
        <w:rPr>
          <w:rFonts w:ascii="Times New Roman" w:hAnsi="Times New Roman" w:cs="Calibri"/>
          <w:szCs w:val="22"/>
          <w:highlight w:val="none"/>
        </w:rPr>
        <w:t>对标准中有关内容的确定，严格遵守我国农业转基因生物安全管理法律法规及相关规章制度的要求，力求反映本研究领域的国内外先进技术及标准的发展现状与趋势，既体现目前稳定可靠的最新研究成果，又能为未来技术发展提供框架，使标准中所规定的技术内容有利于提高检测结果的准确性和可重复性。</w:t>
      </w:r>
    </w:p>
    <w:p w14:paraId="53DA98CA">
      <w:pPr>
        <w:pStyle w:val="3"/>
        <w:keepNext/>
        <w:keepLines/>
        <w:pageBreakBefore w:val="0"/>
        <w:widowControl w:val="0"/>
        <w:numPr>
          <w:ilvl w:val="0"/>
          <w:numId w:val="2"/>
        </w:numPr>
        <w:kinsoku/>
        <w:wordWrap/>
        <w:overflowPunct/>
        <w:topLinePunct w:val="0"/>
        <w:autoSpaceDE/>
        <w:autoSpaceDN/>
        <w:bidi w:val="0"/>
        <w:adjustRightInd/>
        <w:snapToGrid/>
        <w:spacing w:before="50" w:after="50" w:line="240" w:lineRule="auto"/>
        <w:ind w:firstLine="420" w:firstLineChars="200"/>
        <w:textAlignment w:val="auto"/>
        <w:rPr>
          <w:rFonts w:ascii="Times New Roman" w:hAnsi="Times New Roman" w:eastAsia="黑体" w:cs="Calibri"/>
          <w:b w:val="0"/>
          <w:sz w:val="21"/>
          <w:lang w:val="en-US" w:eastAsia="zh-CN"/>
        </w:rPr>
      </w:pPr>
      <w:bookmarkStart w:id="9" w:name="_Toc20143"/>
      <w:r>
        <w:rPr>
          <w:rFonts w:ascii="Times New Roman" w:hAnsi="Times New Roman" w:eastAsia="黑体" w:cs="Calibri"/>
          <w:b w:val="0"/>
          <w:sz w:val="21"/>
          <w:lang w:val="en-US" w:eastAsia="zh-CN"/>
        </w:rPr>
        <w:t>适用性</w:t>
      </w:r>
      <w:bookmarkEnd w:id="9"/>
    </w:p>
    <w:p w14:paraId="5928DDCA">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eastAsia="仿宋"/>
          <w:strike/>
          <w:dstrike w:val="0"/>
          <w:sz w:val="32"/>
          <w:szCs w:val="32"/>
        </w:rPr>
      </w:pPr>
      <w:r>
        <w:rPr>
          <w:rFonts w:ascii="Times New Roman" w:hAnsi="Times New Roman" w:cs="Calibri"/>
          <w:szCs w:val="22"/>
          <w:highlight w:val="none"/>
        </w:rPr>
        <w:t>在标准方法操作程序的设计、试剂和仪器设备需求方面，始终把经济实用和可操作性作为重要的依据，确保标准的内容便于实施。特别是引物和探针等的筛选要确保在不同的酶和仪器中能够展现最好的特异性。易于被其他标准和文件引用。</w:t>
      </w:r>
    </w:p>
    <w:p w14:paraId="38ABD4DF">
      <w:pPr>
        <w:pStyle w:val="3"/>
        <w:bidi w:val="0"/>
        <w:spacing w:before="50" w:after="50" w:line="240" w:lineRule="auto"/>
        <w:ind w:firstLine="0" w:firstLineChars="0"/>
        <w:rPr>
          <w:rFonts w:ascii="黑体" w:hAnsi="黑体" w:eastAsia="黑体" w:cs="黑体"/>
          <w:b w:val="0"/>
          <w:bCs w:val="0"/>
          <w:sz w:val="32"/>
        </w:rPr>
      </w:pPr>
      <w:bookmarkStart w:id="10" w:name="_Toc5331"/>
      <w:r>
        <w:t>（</w:t>
      </w:r>
      <w:r>
        <w:rPr>
          <w:rFonts w:hint="eastAsia"/>
          <w:lang w:val="en-US" w:eastAsia="zh-CN"/>
        </w:rPr>
        <w:t>二</w:t>
      </w:r>
      <w:r>
        <w:t>）</w:t>
      </w:r>
      <w:r>
        <w:rPr>
          <w:rFonts w:hint="eastAsia" w:ascii="Times New Roman" w:hAnsi="Times New Roman" w:eastAsia="黑体" w:cs="Calibri"/>
          <w:b w:val="0"/>
          <w:sz w:val="21"/>
        </w:rPr>
        <w:t>抗虫耐除草剂玉米</w:t>
      </w:r>
      <w:r>
        <w:rPr>
          <w:rFonts w:hint="eastAsia" w:eastAsia="黑体" w:cs="Calibri"/>
          <w:b w:val="0"/>
          <w:sz w:val="21"/>
          <w:lang w:eastAsia="zh-CN"/>
        </w:rPr>
        <w:t>QY2569-42</w:t>
      </w:r>
      <w:r>
        <w:rPr>
          <w:rFonts w:hint="eastAsia" w:ascii="Times New Roman" w:hAnsi="Times New Roman" w:eastAsia="黑体" w:cs="Calibri"/>
          <w:b w:val="0"/>
          <w:sz w:val="21"/>
        </w:rPr>
        <w:t>背景及方法建立的准备工作</w:t>
      </w:r>
      <w:bookmarkEnd w:id="10"/>
    </w:p>
    <w:p w14:paraId="17515E21">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hint="eastAsia" w:ascii="Times New Roman" w:hAnsi="Times New Roman" w:eastAsia="黑体" w:cs="Calibri"/>
          <w:b w:val="0"/>
          <w:sz w:val="21"/>
          <w:lang w:val="en-US" w:eastAsia="zh-CN"/>
        </w:rPr>
        <w:t xml:space="preserve">1. </w:t>
      </w:r>
      <w:r>
        <w:rPr>
          <w:rFonts w:ascii="Times New Roman" w:hAnsi="Times New Roman" w:eastAsia="黑体" w:cs="Calibri"/>
          <w:b w:val="0"/>
          <w:sz w:val="21"/>
        </w:rPr>
        <w:t>抗虫耐除草剂玉米</w:t>
      </w:r>
      <w:r>
        <w:rPr>
          <w:rFonts w:hint="eastAsia" w:eastAsia="黑体" w:cs="Calibri"/>
          <w:b w:val="0"/>
          <w:sz w:val="21"/>
          <w:lang w:eastAsia="zh-CN"/>
        </w:rPr>
        <w:t>QY2569-42</w:t>
      </w:r>
      <w:r>
        <w:rPr>
          <w:rFonts w:ascii="Times New Roman" w:hAnsi="Times New Roman" w:eastAsia="黑体" w:cs="Calibri"/>
          <w:b w:val="0"/>
          <w:sz w:val="21"/>
        </w:rPr>
        <w:t>简介</w:t>
      </w:r>
    </w:p>
    <w:p w14:paraId="17CCDAA6">
      <w:pPr>
        <w:spacing w:line="312" w:lineRule="auto"/>
        <w:ind w:firstLine="640"/>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培育和推广抗虫耐除草剂玉米新品种，能够有效解决中国常规玉米种植存在的虫害和杂草控制问题，对提升玉米田间除草效果、降低生产成本，提高农民植株积极性和种植效益，增强国产玉米竞争力具有重要意义。</w:t>
      </w:r>
      <w:r>
        <w:rPr>
          <w:rFonts w:hint="default" w:ascii="Times New Roman" w:hAnsi="Times New Roman" w:eastAsia="宋体" w:cs="Times New Roman"/>
          <w:sz w:val="21"/>
          <w:szCs w:val="21"/>
          <w:highlight w:val="none"/>
        </w:rPr>
        <w:t>抗虫耐除草剂玉米QY2569-42是青岛清原化合物有限公司和青岛清原种子科学有限公司研发的转</w:t>
      </w:r>
      <w:r>
        <w:rPr>
          <w:rFonts w:hint="default" w:ascii="Times New Roman" w:hAnsi="Times New Roman" w:eastAsia="宋体" w:cs="Times New Roman"/>
          <w:i/>
          <w:sz w:val="21"/>
          <w:szCs w:val="21"/>
          <w:highlight w:val="none"/>
        </w:rPr>
        <w:t>vip3Aa-k1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i/>
          <w:sz w:val="21"/>
          <w:szCs w:val="21"/>
          <w:highlight w:val="none"/>
        </w:rPr>
        <w:t>cry1Ab</w:t>
      </w:r>
      <w:r>
        <w:rPr>
          <w:rFonts w:hint="default" w:ascii="Times New Roman" w:hAnsi="Times New Roman" w:eastAsia="宋体" w:cs="Times New Roman"/>
          <w:sz w:val="21"/>
          <w:szCs w:val="21"/>
          <w:highlight w:val="none"/>
        </w:rPr>
        <w:t>和</w:t>
      </w:r>
      <w:r>
        <w:rPr>
          <w:rFonts w:hint="default" w:ascii="Times New Roman" w:hAnsi="Times New Roman" w:eastAsia="宋体" w:cs="Times New Roman"/>
          <w:i/>
          <w:iCs/>
          <w:sz w:val="21"/>
          <w:szCs w:val="21"/>
          <w:highlight w:val="none"/>
        </w:rPr>
        <w:t>pat</w:t>
      </w:r>
      <w:r>
        <w:rPr>
          <w:rFonts w:hint="default" w:ascii="Times New Roman" w:hAnsi="Times New Roman" w:eastAsia="宋体" w:cs="Times New Roman"/>
          <w:sz w:val="21"/>
          <w:szCs w:val="21"/>
          <w:highlight w:val="none"/>
        </w:rPr>
        <w:t>基因的抗虫耐除草剂玉米新品系，研发者将外源基因</w:t>
      </w:r>
      <w:r>
        <w:rPr>
          <w:rFonts w:hint="default" w:ascii="Times New Roman" w:hAnsi="Times New Roman" w:eastAsia="宋体" w:cs="Times New Roman"/>
          <w:i/>
          <w:sz w:val="21"/>
          <w:szCs w:val="21"/>
          <w:highlight w:val="none"/>
        </w:rPr>
        <w:t>vip3Aa-k1</w:t>
      </w:r>
      <w:r>
        <w:rPr>
          <w:rFonts w:hint="default" w:ascii="Times New Roman" w:hAnsi="Times New Roman" w:eastAsia="宋体" w:cs="Times New Roman"/>
          <w:sz w:val="21"/>
          <w:szCs w:val="21"/>
          <w:highlight w:val="none"/>
        </w:rPr>
        <w:t>表达盒、</w:t>
      </w:r>
      <w:r>
        <w:rPr>
          <w:rFonts w:hint="default" w:ascii="Times New Roman" w:hAnsi="Times New Roman" w:eastAsia="宋体" w:cs="Times New Roman"/>
          <w:i/>
          <w:sz w:val="21"/>
          <w:szCs w:val="21"/>
          <w:highlight w:val="none"/>
        </w:rPr>
        <w:t>cry1Ab</w:t>
      </w:r>
      <w:r>
        <w:rPr>
          <w:rFonts w:hint="default" w:ascii="Times New Roman" w:hAnsi="Times New Roman" w:eastAsia="宋体" w:cs="Times New Roman"/>
          <w:sz w:val="21"/>
          <w:szCs w:val="21"/>
          <w:highlight w:val="none"/>
        </w:rPr>
        <w:t>表达盒和</w:t>
      </w:r>
      <w:r>
        <w:rPr>
          <w:rFonts w:hint="default" w:ascii="Times New Roman" w:hAnsi="Times New Roman" w:eastAsia="宋体" w:cs="Times New Roman"/>
          <w:i/>
          <w:iCs/>
          <w:sz w:val="21"/>
          <w:szCs w:val="21"/>
          <w:highlight w:val="none"/>
        </w:rPr>
        <w:t>pat</w:t>
      </w:r>
      <w:r>
        <w:rPr>
          <w:rFonts w:hint="default" w:ascii="Times New Roman" w:hAnsi="Times New Roman" w:eastAsia="宋体" w:cs="Times New Roman"/>
          <w:sz w:val="21"/>
          <w:szCs w:val="21"/>
          <w:highlight w:val="none"/>
        </w:rPr>
        <w:t>表达盒构建到同一表达载体</w:t>
      </w:r>
      <w:r>
        <w:rPr>
          <w:rFonts w:hint="default" w:ascii="Times New Roman" w:hAnsi="Times New Roman" w:eastAsia="宋体" w:cs="Times New Roman"/>
          <w:bCs/>
          <w:color w:val="000000"/>
          <w:sz w:val="21"/>
          <w:szCs w:val="21"/>
          <w:highlight w:val="none"/>
        </w:rPr>
        <w:t>p</w:t>
      </w:r>
      <w:r>
        <w:rPr>
          <w:rFonts w:hint="default" w:ascii="Times New Roman" w:hAnsi="Times New Roman" w:eastAsia="宋体" w:cs="Times New Roman"/>
          <w:sz w:val="21"/>
          <w:szCs w:val="21"/>
          <w:highlight w:val="none"/>
        </w:rPr>
        <w:t>QY002569中，借助农杆菌介导转化方法，将一段11 kb的插入序列转入到受体玉米ZM11中。其中，</w:t>
      </w:r>
      <w:r>
        <w:rPr>
          <w:rFonts w:hint="default" w:ascii="Times New Roman" w:hAnsi="Times New Roman" w:eastAsia="宋体" w:cs="Times New Roman"/>
          <w:i/>
          <w:sz w:val="21"/>
          <w:szCs w:val="21"/>
          <w:highlight w:val="none"/>
        </w:rPr>
        <w:t>vip3Aa-k1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i/>
          <w:sz w:val="21"/>
          <w:szCs w:val="21"/>
          <w:highlight w:val="none"/>
        </w:rPr>
        <w:t>cry1Ab</w:t>
      </w:r>
      <w:r>
        <w:rPr>
          <w:rFonts w:hint="default" w:ascii="Times New Roman" w:hAnsi="Times New Roman" w:eastAsia="宋体" w:cs="Times New Roman"/>
          <w:sz w:val="21"/>
          <w:szCs w:val="21"/>
          <w:highlight w:val="none"/>
        </w:rPr>
        <w:t>基因是来源于苏云金杆菌的目的基因，是广谱抗虫蛋白，对鳞翅目的亚洲玉米螟、东方粘虫、棉铃虫和夜蛾科害虫具有高效的抗虫性；</w:t>
      </w:r>
      <w:r>
        <w:rPr>
          <w:rFonts w:hint="default" w:ascii="Times New Roman" w:hAnsi="Times New Roman" w:eastAsia="宋体" w:cs="Times New Roman"/>
          <w:i/>
          <w:iCs/>
          <w:sz w:val="21"/>
          <w:szCs w:val="21"/>
          <w:highlight w:val="none"/>
        </w:rPr>
        <w:t>pat</w:t>
      </w:r>
      <w:r>
        <w:rPr>
          <w:rFonts w:hint="default" w:ascii="Times New Roman" w:hAnsi="Times New Roman" w:eastAsia="宋体" w:cs="Times New Roman"/>
          <w:sz w:val="21"/>
          <w:szCs w:val="21"/>
          <w:highlight w:val="none"/>
        </w:rPr>
        <w:t>基因可编码草铵膦乙酰转移酶，提供对精草铵膦除草剂的耐受性。通过外源基因</w:t>
      </w:r>
      <w:r>
        <w:rPr>
          <w:rFonts w:hint="default" w:ascii="Times New Roman" w:hAnsi="Times New Roman" w:eastAsia="宋体" w:cs="Times New Roman"/>
          <w:i/>
          <w:sz w:val="21"/>
          <w:szCs w:val="21"/>
          <w:highlight w:val="none"/>
        </w:rPr>
        <w:t>vip3Aa-k1</w:t>
      </w:r>
      <w:r>
        <w:rPr>
          <w:rFonts w:hint="default" w:ascii="Times New Roman" w:hAnsi="Times New Roman" w:eastAsia="宋体" w:cs="Times New Roman"/>
          <w:sz w:val="21"/>
          <w:szCs w:val="21"/>
          <w:highlight w:val="none"/>
        </w:rPr>
        <w:t>表达盒、</w:t>
      </w:r>
      <w:r>
        <w:rPr>
          <w:rFonts w:hint="default" w:ascii="Times New Roman" w:hAnsi="Times New Roman" w:eastAsia="宋体" w:cs="Times New Roman"/>
          <w:i/>
          <w:sz w:val="21"/>
          <w:szCs w:val="21"/>
          <w:highlight w:val="none"/>
        </w:rPr>
        <w:t>cry1Ab</w:t>
      </w:r>
      <w:r>
        <w:rPr>
          <w:rFonts w:hint="default" w:ascii="Times New Roman" w:hAnsi="Times New Roman" w:eastAsia="宋体" w:cs="Times New Roman"/>
          <w:sz w:val="21"/>
          <w:szCs w:val="21"/>
          <w:highlight w:val="none"/>
        </w:rPr>
        <w:t>表达盒和</w:t>
      </w:r>
      <w:r>
        <w:rPr>
          <w:rFonts w:hint="default" w:ascii="Times New Roman" w:hAnsi="Times New Roman" w:eastAsia="宋体" w:cs="Times New Roman"/>
          <w:i/>
          <w:iCs/>
          <w:sz w:val="21"/>
          <w:szCs w:val="21"/>
          <w:highlight w:val="none"/>
        </w:rPr>
        <w:t>pat</w:t>
      </w:r>
      <w:r>
        <w:rPr>
          <w:rFonts w:hint="default" w:ascii="Times New Roman" w:hAnsi="Times New Roman" w:eastAsia="宋体" w:cs="Times New Roman"/>
          <w:sz w:val="21"/>
          <w:szCs w:val="21"/>
          <w:highlight w:val="none"/>
        </w:rPr>
        <w:t>表达盒的插入，获得抗虫耐除草剂玉米，经过多代自交获得抗虫耐除草剂性状优良的转基因玉米QY2569-42。目前该转基因玉米已获得转基因生物生产应用的安全证书。</w:t>
      </w:r>
    </w:p>
    <w:p w14:paraId="69D64659">
      <w:pPr>
        <w:pStyle w:val="4"/>
        <w:numPr>
          <w:ilvl w:val="0"/>
          <w:numId w:val="3"/>
        </w:numPr>
        <w:bidi w:val="0"/>
        <w:spacing w:before="50" w:beforeLines="50" w:after="50" w:afterLines="50" w:line="240" w:lineRule="auto"/>
        <w:ind w:left="0" w:leftChars="0" w:firstLine="420" w:firstLineChars="200"/>
        <w:rPr>
          <w:rFonts w:hint="eastAsia" w:ascii="Times New Roman" w:hAnsi="Times New Roman" w:eastAsia="黑体" w:cs="Calibri"/>
          <w:b w:val="0"/>
          <w:sz w:val="21"/>
        </w:rPr>
      </w:pPr>
      <w:r>
        <w:rPr>
          <w:rFonts w:hint="eastAsia" w:ascii="Times New Roman" w:hAnsi="Times New Roman" w:eastAsia="黑体" w:cs="Calibri"/>
          <w:b w:val="0"/>
          <w:sz w:val="21"/>
          <w:lang w:val="en-US" w:eastAsia="zh-CN"/>
        </w:rPr>
        <w:t>抗虫耐除草剂玉米</w:t>
      </w:r>
      <w:r>
        <w:rPr>
          <w:rFonts w:hint="eastAsia" w:eastAsia="黑体" w:cs="Calibri"/>
          <w:b w:val="0"/>
          <w:sz w:val="21"/>
          <w:lang w:val="en-US" w:eastAsia="zh-CN"/>
        </w:rPr>
        <w:t>QY2569-42</w:t>
      </w:r>
      <w:r>
        <w:rPr>
          <w:rFonts w:hint="eastAsia" w:ascii="Times New Roman" w:hAnsi="Times New Roman" w:eastAsia="黑体" w:cs="Calibri"/>
          <w:b w:val="0"/>
          <w:sz w:val="21"/>
          <w:lang w:val="en-US" w:eastAsia="zh-CN"/>
        </w:rPr>
        <w:t>分子特征</w:t>
      </w:r>
    </w:p>
    <w:p w14:paraId="76E7B46A">
      <w:pPr>
        <w:widowControl/>
        <w:spacing w:line="360" w:lineRule="auto"/>
        <w:ind w:firstLine="64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用于遗传转化获得抗虫耐除草剂玉米QY2569-42的表达载体为</w:t>
      </w:r>
      <w:r>
        <w:rPr>
          <w:rFonts w:hint="default" w:ascii="Times New Roman" w:hAnsi="Times New Roman" w:eastAsia="宋体" w:cs="Times New Roman"/>
          <w:bCs/>
          <w:sz w:val="21"/>
          <w:szCs w:val="21"/>
        </w:rPr>
        <w:t>pQY002569</w:t>
      </w:r>
      <w:r>
        <w:rPr>
          <w:rFonts w:hint="default" w:ascii="Times New Roman" w:hAnsi="Times New Roman" w:eastAsia="宋体" w:cs="Times New Roman"/>
          <w:sz w:val="21"/>
          <w:szCs w:val="21"/>
        </w:rPr>
        <w:t>，大小为17632 bp，T-DNA区域含有</w:t>
      </w:r>
      <w:r>
        <w:rPr>
          <w:rFonts w:hint="default" w:ascii="Times New Roman" w:hAnsi="Times New Roman" w:eastAsia="宋体" w:cs="Times New Roman"/>
          <w:i/>
          <w:sz w:val="21"/>
          <w:szCs w:val="21"/>
        </w:rPr>
        <w:t>vip3Aa-k1</w:t>
      </w:r>
      <w:r>
        <w:rPr>
          <w:rFonts w:hint="default" w:ascii="Times New Roman" w:hAnsi="Times New Roman" w:eastAsia="宋体" w:cs="Times New Roman"/>
          <w:sz w:val="21"/>
          <w:szCs w:val="21"/>
        </w:rPr>
        <w:t>基因、</w:t>
      </w:r>
      <w:r>
        <w:rPr>
          <w:rFonts w:hint="default" w:ascii="Times New Roman" w:hAnsi="Times New Roman" w:eastAsia="宋体" w:cs="Times New Roman"/>
          <w:i/>
          <w:sz w:val="21"/>
          <w:szCs w:val="21"/>
        </w:rPr>
        <w:t>cry1Ab</w:t>
      </w:r>
      <w:r>
        <w:rPr>
          <w:rFonts w:hint="default" w:ascii="Times New Roman" w:hAnsi="Times New Roman" w:eastAsia="宋体" w:cs="Times New Roman"/>
          <w:sz w:val="21"/>
          <w:szCs w:val="21"/>
        </w:rPr>
        <w:t>基因和</w:t>
      </w:r>
      <w:r>
        <w:rPr>
          <w:rFonts w:hint="default" w:ascii="Times New Roman" w:hAnsi="Times New Roman" w:eastAsia="宋体" w:cs="Times New Roman"/>
          <w:i/>
          <w:iCs/>
          <w:sz w:val="21"/>
          <w:szCs w:val="21"/>
        </w:rPr>
        <w:t>pat</w:t>
      </w:r>
      <w:r>
        <w:rPr>
          <w:rFonts w:hint="default" w:ascii="Times New Roman" w:hAnsi="Times New Roman" w:eastAsia="宋体" w:cs="Times New Roman"/>
          <w:sz w:val="21"/>
          <w:szCs w:val="21"/>
        </w:rPr>
        <w:t>基因及其配套启动子和终止子。</w:t>
      </w:r>
      <w:r>
        <w:rPr>
          <w:rFonts w:hint="default" w:ascii="Times New Roman" w:hAnsi="Times New Roman" w:eastAsia="宋体" w:cs="Times New Roman"/>
          <w:i/>
          <w:sz w:val="21"/>
          <w:szCs w:val="21"/>
        </w:rPr>
        <w:t>vip3Aa-k1</w:t>
      </w:r>
      <w:r>
        <w:rPr>
          <w:rFonts w:hint="default" w:ascii="Times New Roman" w:hAnsi="Times New Roman" w:eastAsia="宋体" w:cs="Times New Roman"/>
          <w:sz w:val="21"/>
          <w:szCs w:val="21"/>
        </w:rPr>
        <w:t>基因启动子为水稻</w:t>
      </w:r>
      <w:r>
        <w:rPr>
          <w:rFonts w:hint="default" w:ascii="Times New Roman" w:hAnsi="Times New Roman" w:eastAsia="宋体" w:cs="Times New Roman"/>
          <w:i/>
          <w:iCs/>
          <w:sz w:val="21"/>
          <w:szCs w:val="21"/>
        </w:rPr>
        <w:t>OsUbi2</w:t>
      </w:r>
      <w:r>
        <w:rPr>
          <w:rFonts w:hint="default" w:ascii="Times New Roman" w:hAnsi="Times New Roman" w:eastAsia="宋体" w:cs="Times New Roman"/>
          <w:sz w:val="21"/>
          <w:szCs w:val="21"/>
        </w:rPr>
        <w:t xml:space="preserve"> promoter，终止子为T-Ara5</w:t>
      </w:r>
      <w:r>
        <w:rPr>
          <w:rFonts w:hint="eastAsia" w:cs="Times New Roman"/>
          <w:sz w:val="21"/>
          <w:szCs w:val="21"/>
          <w:lang w:eastAsia="zh-CN"/>
        </w:rPr>
        <w:t>。</w:t>
      </w:r>
      <w:r>
        <w:rPr>
          <w:rFonts w:hint="default" w:ascii="Times New Roman" w:hAnsi="Times New Roman" w:eastAsia="宋体" w:cs="Times New Roman"/>
          <w:i/>
          <w:sz w:val="21"/>
          <w:szCs w:val="21"/>
        </w:rPr>
        <w:t>cry1Ab</w:t>
      </w:r>
      <w:r>
        <w:rPr>
          <w:rFonts w:hint="default" w:ascii="Times New Roman" w:hAnsi="Times New Roman" w:eastAsia="宋体" w:cs="Times New Roman"/>
          <w:sz w:val="21"/>
          <w:szCs w:val="21"/>
        </w:rPr>
        <w:t>基因启动子为玄参花叶病毒启动子P-FMV，终止子为T-Tr7。</w:t>
      </w:r>
      <w:r>
        <w:rPr>
          <w:rFonts w:hint="default" w:ascii="Times New Roman" w:hAnsi="Times New Roman" w:eastAsia="宋体" w:cs="Times New Roman"/>
          <w:i/>
          <w:iCs/>
          <w:sz w:val="21"/>
          <w:szCs w:val="21"/>
        </w:rPr>
        <w:t>pat</w:t>
      </w:r>
      <w:r>
        <w:rPr>
          <w:rFonts w:hint="default" w:ascii="Times New Roman" w:hAnsi="Times New Roman" w:eastAsia="宋体" w:cs="Times New Roman"/>
          <w:sz w:val="21"/>
          <w:szCs w:val="21"/>
        </w:rPr>
        <w:t>基因启动子为花椰菜花叶病毒35S启动子P-CaMV35S ，终止子为T-35S polyA 。载体图谱如图</w:t>
      </w:r>
      <w:r>
        <w:rPr>
          <w:rFonts w:hint="eastAsia" w:cs="Times New Roman"/>
          <w:sz w:val="21"/>
          <w:szCs w:val="21"/>
          <w:lang w:val="en-US" w:eastAsia="zh-CN"/>
        </w:rPr>
        <w:t>2</w:t>
      </w:r>
      <w:r>
        <w:rPr>
          <w:rFonts w:hint="default" w:ascii="Times New Roman" w:hAnsi="Times New Roman" w:eastAsia="宋体" w:cs="Times New Roman"/>
          <w:sz w:val="21"/>
          <w:szCs w:val="21"/>
        </w:rPr>
        <w:t>-1，元件及序列长度见表</w:t>
      </w:r>
      <w:r>
        <w:rPr>
          <w:rFonts w:hint="eastAsia" w:cs="Times New Roman"/>
          <w:sz w:val="21"/>
          <w:szCs w:val="21"/>
          <w:lang w:val="en-US" w:eastAsia="zh-CN"/>
        </w:rPr>
        <w:t>2</w:t>
      </w:r>
      <w:r>
        <w:rPr>
          <w:rFonts w:hint="default" w:ascii="Times New Roman" w:hAnsi="Times New Roman" w:eastAsia="宋体" w:cs="Times New Roman"/>
          <w:sz w:val="21"/>
          <w:szCs w:val="21"/>
        </w:rPr>
        <w:t xml:space="preserve">-1。 </w:t>
      </w:r>
    </w:p>
    <w:p w14:paraId="6CDED479">
      <w:pP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5273040" cy="46405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040" cy="4640580"/>
                    </a:xfrm>
                    <a:prstGeom prst="rect">
                      <a:avLst/>
                    </a:prstGeom>
                    <a:noFill/>
                    <a:ln>
                      <a:noFill/>
                    </a:ln>
                  </pic:spPr>
                </pic:pic>
              </a:graphicData>
            </a:graphic>
          </wp:inline>
        </w:drawing>
      </w:r>
    </w:p>
    <w:p w14:paraId="1F9694DC">
      <w:pPr>
        <w:pStyle w:val="8"/>
        <w:spacing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图</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-1 抗虫耐除草剂玉米QY2569-42载体图谱</w:t>
      </w:r>
    </w:p>
    <w:p w14:paraId="1C70BE0B">
      <w:pPr>
        <w:pStyle w:val="8"/>
        <w:spacing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-1 抗虫耐除草剂玉米QY2569-42插入序列的基因元件基因元件</w:t>
      </w:r>
    </w:p>
    <w:tbl>
      <w:tblPr>
        <w:tblStyle w:val="16"/>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077"/>
        <w:gridCol w:w="1077"/>
        <w:gridCol w:w="1077"/>
        <w:gridCol w:w="3827"/>
      </w:tblGrid>
      <w:tr w14:paraId="2135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94" w:type="dxa"/>
            <w:vAlign w:val="center"/>
          </w:tcPr>
          <w:p w14:paraId="25225B96">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元件名称</w:t>
            </w:r>
          </w:p>
        </w:tc>
        <w:tc>
          <w:tcPr>
            <w:tcW w:w="1077" w:type="dxa"/>
            <w:vAlign w:val="center"/>
          </w:tcPr>
          <w:p w14:paraId="31CC1357">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起始位置</w:t>
            </w:r>
          </w:p>
          <w:p w14:paraId="380E69DB">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(bp)</w:t>
            </w:r>
          </w:p>
        </w:tc>
        <w:tc>
          <w:tcPr>
            <w:tcW w:w="1077" w:type="dxa"/>
            <w:vAlign w:val="center"/>
          </w:tcPr>
          <w:p w14:paraId="70A7E9BC">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终止位置</w:t>
            </w:r>
          </w:p>
          <w:p w14:paraId="2ADA112C">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(bp)</w:t>
            </w:r>
          </w:p>
        </w:tc>
        <w:tc>
          <w:tcPr>
            <w:tcW w:w="1077" w:type="dxa"/>
            <w:vAlign w:val="center"/>
          </w:tcPr>
          <w:p w14:paraId="5D770DAD">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大小</w:t>
            </w:r>
          </w:p>
          <w:p w14:paraId="5F855AFC">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(bp)</w:t>
            </w:r>
          </w:p>
        </w:tc>
        <w:tc>
          <w:tcPr>
            <w:tcW w:w="3827" w:type="dxa"/>
            <w:vAlign w:val="center"/>
          </w:tcPr>
          <w:p w14:paraId="13E0679D">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w:t>
            </w:r>
          </w:p>
        </w:tc>
      </w:tr>
      <w:tr w14:paraId="7636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4536A90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RB</w:t>
            </w:r>
          </w:p>
        </w:tc>
        <w:tc>
          <w:tcPr>
            <w:tcW w:w="1077" w:type="dxa"/>
            <w:vAlign w:val="center"/>
          </w:tcPr>
          <w:p w14:paraId="5FCBD6CC">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17524</w:t>
            </w:r>
          </w:p>
        </w:tc>
        <w:tc>
          <w:tcPr>
            <w:tcW w:w="1077" w:type="dxa"/>
            <w:vAlign w:val="center"/>
          </w:tcPr>
          <w:p w14:paraId="0CF8198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w:t>
            </w:r>
          </w:p>
        </w:tc>
        <w:tc>
          <w:tcPr>
            <w:tcW w:w="1077" w:type="dxa"/>
            <w:vAlign w:val="center"/>
          </w:tcPr>
          <w:p w14:paraId="5BA10718">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3827" w:type="dxa"/>
            <w:vAlign w:val="center"/>
          </w:tcPr>
          <w:p w14:paraId="5D5A647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T-DNA右边界序列</w:t>
            </w:r>
          </w:p>
        </w:tc>
      </w:tr>
      <w:tr w14:paraId="7BA9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5CE74ADB">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OsUbi2 promoter </w:t>
            </w:r>
          </w:p>
        </w:tc>
        <w:tc>
          <w:tcPr>
            <w:tcW w:w="1077" w:type="dxa"/>
            <w:vAlign w:val="center"/>
          </w:tcPr>
          <w:p w14:paraId="6C42512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w:t>
            </w:r>
          </w:p>
        </w:tc>
        <w:tc>
          <w:tcPr>
            <w:tcW w:w="1077" w:type="dxa"/>
            <w:vAlign w:val="center"/>
          </w:tcPr>
          <w:p w14:paraId="6CC7374B">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1797</w:t>
            </w:r>
          </w:p>
        </w:tc>
        <w:tc>
          <w:tcPr>
            <w:tcW w:w="1077" w:type="dxa"/>
            <w:vAlign w:val="center"/>
          </w:tcPr>
          <w:p w14:paraId="54721CE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1707</w:t>
            </w:r>
          </w:p>
        </w:tc>
        <w:tc>
          <w:tcPr>
            <w:tcW w:w="3827" w:type="dxa"/>
            <w:vAlign w:val="center"/>
          </w:tcPr>
          <w:p w14:paraId="55047CF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水稻泛素蛋白2启动子，启动</w:t>
            </w:r>
            <w:r>
              <w:rPr>
                <w:rFonts w:hint="default" w:ascii="Times New Roman" w:hAnsi="Times New Roman" w:eastAsia="宋体" w:cs="Times New Roman"/>
                <w:i/>
                <w:sz w:val="21"/>
                <w:szCs w:val="21"/>
              </w:rPr>
              <w:t>vip3Aa-k1</w:t>
            </w:r>
            <w:r>
              <w:rPr>
                <w:rFonts w:hint="default" w:ascii="Times New Roman" w:hAnsi="Times New Roman" w:eastAsia="宋体" w:cs="Times New Roman"/>
                <w:sz w:val="21"/>
                <w:szCs w:val="21"/>
              </w:rPr>
              <w:t>基因的表达</w:t>
            </w:r>
          </w:p>
        </w:tc>
      </w:tr>
      <w:tr w14:paraId="39A3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62DB4D07">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CTP-TS-SSU</w:t>
            </w:r>
          </w:p>
        </w:tc>
        <w:tc>
          <w:tcPr>
            <w:tcW w:w="1077" w:type="dxa"/>
            <w:vAlign w:val="center"/>
          </w:tcPr>
          <w:p w14:paraId="6912A7B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1801</w:t>
            </w:r>
          </w:p>
        </w:tc>
        <w:tc>
          <w:tcPr>
            <w:tcW w:w="1077" w:type="dxa"/>
            <w:vAlign w:val="center"/>
          </w:tcPr>
          <w:p w14:paraId="6D8E01FC">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2037</w:t>
            </w:r>
          </w:p>
        </w:tc>
        <w:tc>
          <w:tcPr>
            <w:tcW w:w="1077" w:type="dxa"/>
            <w:vAlign w:val="center"/>
          </w:tcPr>
          <w:p w14:paraId="7942A558">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237</w:t>
            </w:r>
          </w:p>
        </w:tc>
        <w:tc>
          <w:tcPr>
            <w:tcW w:w="3827" w:type="dxa"/>
            <w:vAlign w:val="center"/>
          </w:tcPr>
          <w:p w14:paraId="60C0CA43">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叶绿体定位肽，引导Vip3Aa-k1成熟蛋白定位到叶绿体中</w:t>
            </w:r>
          </w:p>
        </w:tc>
      </w:tr>
      <w:tr w14:paraId="0D51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7CA7C48A">
            <w:pPr>
              <w:spacing w:line="240" w:lineRule="auto"/>
              <w:ind w:firstLine="0" w:firstLineChars="0"/>
              <w:jc w:val="center"/>
              <w:rPr>
                <w:rFonts w:hint="default" w:ascii="Times New Roman" w:hAnsi="Times New Roman" w:eastAsia="宋体" w:cs="Times New Roman"/>
                <w:i/>
                <w:sz w:val="21"/>
                <w:szCs w:val="21"/>
              </w:rPr>
            </w:pPr>
            <w:r>
              <w:rPr>
                <w:rFonts w:hint="default" w:ascii="Times New Roman" w:hAnsi="Times New Roman" w:eastAsia="宋体" w:cs="Times New Roman"/>
                <w:i/>
                <w:sz w:val="21"/>
                <w:szCs w:val="21"/>
              </w:rPr>
              <w:t>vip3Aa-k1</w:t>
            </w:r>
          </w:p>
        </w:tc>
        <w:tc>
          <w:tcPr>
            <w:tcW w:w="1077" w:type="dxa"/>
            <w:vAlign w:val="center"/>
          </w:tcPr>
          <w:p w14:paraId="0621E0A0">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2041</w:t>
            </w:r>
          </w:p>
        </w:tc>
        <w:tc>
          <w:tcPr>
            <w:tcW w:w="1077" w:type="dxa"/>
            <w:vAlign w:val="center"/>
          </w:tcPr>
          <w:p w14:paraId="1D6DEAAB">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4413</w:t>
            </w:r>
          </w:p>
        </w:tc>
        <w:tc>
          <w:tcPr>
            <w:tcW w:w="1077" w:type="dxa"/>
            <w:vAlign w:val="center"/>
          </w:tcPr>
          <w:p w14:paraId="46F41BC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2373</w:t>
            </w:r>
          </w:p>
        </w:tc>
        <w:tc>
          <w:tcPr>
            <w:tcW w:w="3827" w:type="dxa"/>
            <w:vAlign w:val="center"/>
          </w:tcPr>
          <w:p w14:paraId="1C11299C">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编码Vip3Aa-k1蛋白，使植物抵抗草地贪夜蛾、棉铃虫等鳞翅目害虫的侵害</w:t>
            </w:r>
          </w:p>
        </w:tc>
      </w:tr>
      <w:tr w14:paraId="6992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373F0097">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T-Ara5</w:t>
            </w:r>
          </w:p>
        </w:tc>
        <w:tc>
          <w:tcPr>
            <w:tcW w:w="1077" w:type="dxa"/>
            <w:vAlign w:val="center"/>
          </w:tcPr>
          <w:p w14:paraId="7CE0ABEF">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4414</w:t>
            </w:r>
          </w:p>
        </w:tc>
        <w:tc>
          <w:tcPr>
            <w:tcW w:w="1077" w:type="dxa"/>
            <w:vAlign w:val="center"/>
          </w:tcPr>
          <w:p w14:paraId="34E70CF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4626</w:t>
            </w:r>
          </w:p>
        </w:tc>
        <w:tc>
          <w:tcPr>
            <w:tcW w:w="1077" w:type="dxa"/>
            <w:vAlign w:val="center"/>
          </w:tcPr>
          <w:p w14:paraId="2788A467">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213</w:t>
            </w:r>
          </w:p>
        </w:tc>
        <w:tc>
          <w:tcPr>
            <w:tcW w:w="3827" w:type="dxa"/>
            <w:vAlign w:val="center"/>
          </w:tcPr>
          <w:p w14:paraId="648E07E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水稻ra5b基因终止子</w:t>
            </w:r>
          </w:p>
        </w:tc>
      </w:tr>
      <w:tr w14:paraId="40CB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02124EA5">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P-FMV</w:t>
            </w:r>
          </w:p>
        </w:tc>
        <w:tc>
          <w:tcPr>
            <w:tcW w:w="1077" w:type="dxa"/>
            <w:vAlign w:val="center"/>
          </w:tcPr>
          <w:p w14:paraId="6640187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4633</w:t>
            </w:r>
          </w:p>
        </w:tc>
        <w:tc>
          <w:tcPr>
            <w:tcW w:w="1077" w:type="dxa"/>
            <w:vAlign w:val="center"/>
          </w:tcPr>
          <w:p w14:paraId="6D4D6D0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5197</w:t>
            </w:r>
          </w:p>
        </w:tc>
        <w:tc>
          <w:tcPr>
            <w:tcW w:w="1077" w:type="dxa"/>
            <w:vAlign w:val="center"/>
          </w:tcPr>
          <w:p w14:paraId="6474132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565</w:t>
            </w:r>
          </w:p>
        </w:tc>
        <w:tc>
          <w:tcPr>
            <w:tcW w:w="3827" w:type="dxa"/>
            <w:vAlign w:val="center"/>
          </w:tcPr>
          <w:p w14:paraId="6D99BA96">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玄参花叶病毒 35S 启动子，启动</w:t>
            </w:r>
            <w:r>
              <w:rPr>
                <w:rFonts w:hint="default" w:ascii="Times New Roman" w:hAnsi="Times New Roman" w:eastAsia="宋体" w:cs="Times New Roman"/>
                <w:i/>
                <w:sz w:val="21"/>
                <w:szCs w:val="21"/>
              </w:rPr>
              <w:t>cry1Ab</w:t>
            </w:r>
            <w:r>
              <w:rPr>
                <w:rFonts w:hint="default" w:ascii="Times New Roman" w:hAnsi="Times New Roman" w:eastAsia="宋体" w:cs="Times New Roman"/>
                <w:sz w:val="21"/>
                <w:szCs w:val="21"/>
              </w:rPr>
              <w:t>基因的表达</w:t>
            </w:r>
          </w:p>
        </w:tc>
      </w:tr>
      <w:tr w14:paraId="4226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120F86C8">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I-HSP70</w:t>
            </w:r>
          </w:p>
        </w:tc>
        <w:tc>
          <w:tcPr>
            <w:tcW w:w="1077" w:type="dxa"/>
            <w:vAlign w:val="center"/>
          </w:tcPr>
          <w:p w14:paraId="4668781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5219</w:t>
            </w:r>
          </w:p>
        </w:tc>
        <w:tc>
          <w:tcPr>
            <w:tcW w:w="1077" w:type="dxa"/>
            <w:vAlign w:val="center"/>
          </w:tcPr>
          <w:p w14:paraId="3A6189E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6022</w:t>
            </w:r>
          </w:p>
        </w:tc>
        <w:tc>
          <w:tcPr>
            <w:tcW w:w="1077" w:type="dxa"/>
            <w:vAlign w:val="center"/>
          </w:tcPr>
          <w:p w14:paraId="219A2623">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804</w:t>
            </w:r>
          </w:p>
        </w:tc>
        <w:tc>
          <w:tcPr>
            <w:tcW w:w="3827" w:type="dxa"/>
            <w:vAlign w:val="center"/>
          </w:tcPr>
          <w:p w14:paraId="30E85725">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玉米</w:t>
            </w:r>
            <w:r>
              <w:rPr>
                <w:rFonts w:hint="default" w:ascii="Times New Roman" w:hAnsi="Times New Roman" w:eastAsia="宋体" w:cs="Times New Roman"/>
                <w:i/>
                <w:sz w:val="21"/>
                <w:szCs w:val="21"/>
              </w:rPr>
              <w:t>hsp70</w:t>
            </w:r>
            <w:r>
              <w:rPr>
                <w:rFonts w:hint="default" w:ascii="Times New Roman" w:hAnsi="Times New Roman" w:eastAsia="宋体" w:cs="Times New Roman"/>
                <w:sz w:val="21"/>
                <w:szCs w:val="21"/>
              </w:rPr>
              <w:t>基因内含子，稳定</w:t>
            </w:r>
            <w:r>
              <w:rPr>
                <w:rFonts w:hint="default" w:ascii="Times New Roman" w:hAnsi="Times New Roman" w:eastAsia="宋体" w:cs="Times New Roman"/>
                <w:i/>
                <w:sz w:val="21"/>
                <w:szCs w:val="21"/>
              </w:rPr>
              <w:t>cry1Ab</w:t>
            </w:r>
            <w:r>
              <w:rPr>
                <w:rFonts w:hint="default" w:ascii="Times New Roman" w:hAnsi="Times New Roman" w:eastAsia="宋体" w:cs="Times New Roman"/>
                <w:sz w:val="21"/>
                <w:szCs w:val="21"/>
              </w:rPr>
              <w:t>基因转录</w:t>
            </w:r>
          </w:p>
        </w:tc>
      </w:tr>
      <w:tr w14:paraId="742A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49831E0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CTP2</w:t>
            </w:r>
          </w:p>
        </w:tc>
        <w:tc>
          <w:tcPr>
            <w:tcW w:w="1077" w:type="dxa"/>
            <w:vAlign w:val="center"/>
          </w:tcPr>
          <w:p w14:paraId="3B03F96B">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6026</w:t>
            </w:r>
          </w:p>
        </w:tc>
        <w:tc>
          <w:tcPr>
            <w:tcW w:w="1077" w:type="dxa"/>
            <w:vAlign w:val="center"/>
          </w:tcPr>
          <w:p w14:paraId="52C12C5D">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6253</w:t>
            </w:r>
          </w:p>
        </w:tc>
        <w:tc>
          <w:tcPr>
            <w:tcW w:w="1077" w:type="dxa"/>
            <w:vAlign w:val="center"/>
          </w:tcPr>
          <w:p w14:paraId="13C38497">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228</w:t>
            </w:r>
          </w:p>
        </w:tc>
        <w:tc>
          <w:tcPr>
            <w:tcW w:w="3827" w:type="dxa"/>
            <w:vAlign w:val="center"/>
          </w:tcPr>
          <w:p w14:paraId="128C1BF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叶绿体定位肽，引导Cry1Ab成熟蛋白定位到叶绿体中</w:t>
            </w:r>
          </w:p>
        </w:tc>
      </w:tr>
      <w:tr w14:paraId="41EB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2B076664">
            <w:pPr>
              <w:spacing w:line="240" w:lineRule="auto"/>
              <w:ind w:firstLine="0" w:firstLineChars="0"/>
              <w:jc w:val="center"/>
              <w:rPr>
                <w:rFonts w:hint="default" w:ascii="Times New Roman" w:hAnsi="Times New Roman" w:eastAsia="宋体" w:cs="Times New Roman"/>
                <w:i/>
                <w:sz w:val="21"/>
                <w:szCs w:val="21"/>
              </w:rPr>
            </w:pPr>
            <w:r>
              <w:rPr>
                <w:rFonts w:hint="default" w:ascii="Times New Roman" w:hAnsi="Times New Roman" w:eastAsia="宋体" w:cs="Times New Roman"/>
                <w:i/>
                <w:sz w:val="21"/>
                <w:szCs w:val="21"/>
              </w:rPr>
              <w:t>cry1Ab</w:t>
            </w:r>
          </w:p>
        </w:tc>
        <w:tc>
          <w:tcPr>
            <w:tcW w:w="1077" w:type="dxa"/>
            <w:vAlign w:val="center"/>
          </w:tcPr>
          <w:p w14:paraId="3591DCAC">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6254</w:t>
            </w:r>
          </w:p>
        </w:tc>
        <w:tc>
          <w:tcPr>
            <w:tcW w:w="1077" w:type="dxa"/>
            <w:vAlign w:val="center"/>
          </w:tcPr>
          <w:p w14:paraId="282C38A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9724</w:t>
            </w:r>
          </w:p>
        </w:tc>
        <w:tc>
          <w:tcPr>
            <w:tcW w:w="1077" w:type="dxa"/>
            <w:vAlign w:val="center"/>
          </w:tcPr>
          <w:p w14:paraId="7E04D4C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3471</w:t>
            </w:r>
          </w:p>
        </w:tc>
        <w:tc>
          <w:tcPr>
            <w:tcW w:w="3827" w:type="dxa"/>
            <w:vAlign w:val="center"/>
          </w:tcPr>
          <w:p w14:paraId="37841AF5">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编码Cry1Ab蛋白，使植物抵抗亚洲玉米螟、东方粘虫和棉铃虫等鳞翅目害虫的侵害</w:t>
            </w:r>
          </w:p>
        </w:tc>
      </w:tr>
      <w:tr w14:paraId="4454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29704B3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T-Tr7</w:t>
            </w:r>
          </w:p>
        </w:tc>
        <w:tc>
          <w:tcPr>
            <w:tcW w:w="1077" w:type="dxa"/>
            <w:vAlign w:val="center"/>
          </w:tcPr>
          <w:p w14:paraId="4B4B241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9725</w:t>
            </w:r>
          </w:p>
        </w:tc>
        <w:tc>
          <w:tcPr>
            <w:tcW w:w="1077" w:type="dxa"/>
            <w:vAlign w:val="center"/>
          </w:tcPr>
          <w:p w14:paraId="4CC670DF">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10229</w:t>
            </w:r>
          </w:p>
        </w:tc>
        <w:tc>
          <w:tcPr>
            <w:tcW w:w="1077" w:type="dxa"/>
            <w:vAlign w:val="center"/>
          </w:tcPr>
          <w:p w14:paraId="4A35EF40">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505</w:t>
            </w:r>
          </w:p>
        </w:tc>
        <w:tc>
          <w:tcPr>
            <w:tcW w:w="3827" w:type="dxa"/>
            <w:vAlign w:val="center"/>
          </w:tcPr>
          <w:p w14:paraId="1EBC95E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农杆菌</w:t>
            </w:r>
            <w:r>
              <w:rPr>
                <w:rFonts w:hint="default" w:ascii="Times New Roman" w:hAnsi="Times New Roman" w:eastAsia="宋体" w:cs="Times New Roman"/>
                <w:i/>
                <w:sz w:val="21"/>
                <w:szCs w:val="21"/>
              </w:rPr>
              <w:t>transcript7</w:t>
            </w:r>
            <w:r>
              <w:rPr>
                <w:rFonts w:hint="default" w:ascii="Times New Roman" w:hAnsi="Times New Roman" w:eastAsia="宋体" w:cs="Times New Roman"/>
                <w:sz w:val="21"/>
                <w:szCs w:val="21"/>
              </w:rPr>
              <w:t>基因终止子</w:t>
            </w:r>
          </w:p>
        </w:tc>
      </w:tr>
      <w:tr w14:paraId="7FAB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191E38B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P-CaMV35S</w:t>
            </w:r>
          </w:p>
        </w:tc>
        <w:tc>
          <w:tcPr>
            <w:tcW w:w="1077" w:type="dxa"/>
            <w:vAlign w:val="center"/>
          </w:tcPr>
          <w:p w14:paraId="10B1A65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10233</w:t>
            </w:r>
          </w:p>
        </w:tc>
        <w:tc>
          <w:tcPr>
            <w:tcW w:w="1077" w:type="dxa"/>
            <w:vAlign w:val="center"/>
          </w:tcPr>
          <w:p w14:paraId="78C492D6">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10525</w:t>
            </w:r>
          </w:p>
        </w:tc>
        <w:tc>
          <w:tcPr>
            <w:tcW w:w="1077" w:type="dxa"/>
            <w:vAlign w:val="center"/>
          </w:tcPr>
          <w:p w14:paraId="71CF23F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293</w:t>
            </w:r>
          </w:p>
        </w:tc>
        <w:tc>
          <w:tcPr>
            <w:tcW w:w="3827" w:type="dxa"/>
            <w:vAlign w:val="center"/>
          </w:tcPr>
          <w:p w14:paraId="6499D74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花椰菜花叶病毒35S启动子，启动</w:t>
            </w:r>
            <w:r>
              <w:rPr>
                <w:rFonts w:hint="default" w:ascii="Times New Roman" w:hAnsi="Times New Roman" w:eastAsia="宋体" w:cs="Times New Roman"/>
                <w:i/>
                <w:sz w:val="21"/>
                <w:szCs w:val="21"/>
              </w:rPr>
              <w:t>pat</w:t>
            </w:r>
            <w:r>
              <w:rPr>
                <w:rFonts w:hint="default" w:ascii="Times New Roman" w:hAnsi="Times New Roman" w:eastAsia="宋体" w:cs="Times New Roman"/>
                <w:sz w:val="21"/>
                <w:szCs w:val="21"/>
              </w:rPr>
              <w:t>基因表达</w:t>
            </w:r>
          </w:p>
        </w:tc>
      </w:tr>
      <w:tr w14:paraId="2221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3DECB411">
            <w:pPr>
              <w:spacing w:line="240" w:lineRule="auto"/>
              <w:ind w:firstLine="0" w:firstLineChars="0"/>
              <w:jc w:val="center"/>
              <w:rPr>
                <w:rFonts w:hint="default" w:ascii="Times New Roman" w:hAnsi="Times New Roman" w:eastAsia="宋体" w:cs="Times New Roman"/>
                <w:i/>
                <w:sz w:val="21"/>
                <w:szCs w:val="21"/>
              </w:rPr>
            </w:pPr>
            <w:r>
              <w:rPr>
                <w:rFonts w:hint="default" w:ascii="Times New Roman" w:hAnsi="Times New Roman" w:eastAsia="宋体" w:cs="Times New Roman"/>
                <w:i/>
                <w:sz w:val="21"/>
                <w:szCs w:val="21"/>
              </w:rPr>
              <w:t>pat</w:t>
            </w:r>
          </w:p>
        </w:tc>
        <w:tc>
          <w:tcPr>
            <w:tcW w:w="1077" w:type="dxa"/>
            <w:vAlign w:val="center"/>
          </w:tcPr>
          <w:p w14:paraId="45BA5060">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10529</w:t>
            </w:r>
          </w:p>
        </w:tc>
        <w:tc>
          <w:tcPr>
            <w:tcW w:w="1077" w:type="dxa"/>
            <w:vAlign w:val="center"/>
          </w:tcPr>
          <w:p w14:paraId="1E62AF3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11083</w:t>
            </w:r>
          </w:p>
        </w:tc>
        <w:tc>
          <w:tcPr>
            <w:tcW w:w="1077" w:type="dxa"/>
            <w:vAlign w:val="center"/>
          </w:tcPr>
          <w:p w14:paraId="6251BFC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555</w:t>
            </w:r>
          </w:p>
        </w:tc>
        <w:tc>
          <w:tcPr>
            <w:tcW w:w="3827" w:type="dxa"/>
            <w:vAlign w:val="center"/>
          </w:tcPr>
          <w:p w14:paraId="5B45EA5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编码草铵膦乙酰转移酶，使植物耐受精草铵膦除草剂</w:t>
            </w:r>
          </w:p>
        </w:tc>
      </w:tr>
      <w:tr w14:paraId="56EC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17A998D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T-35S polyA</w:t>
            </w:r>
          </w:p>
        </w:tc>
        <w:tc>
          <w:tcPr>
            <w:tcW w:w="1077" w:type="dxa"/>
            <w:vAlign w:val="center"/>
          </w:tcPr>
          <w:p w14:paraId="51408AC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11084</w:t>
            </w:r>
          </w:p>
        </w:tc>
        <w:tc>
          <w:tcPr>
            <w:tcW w:w="1077" w:type="dxa"/>
            <w:vAlign w:val="center"/>
          </w:tcPr>
          <w:p w14:paraId="223786E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11258</w:t>
            </w:r>
          </w:p>
        </w:tc>
        <w:tc>
          <w:tcPr>
            <w:tcW w:w="1077" w:type="dxa"/>
            <w:vAlign w:val="center"/>
          </w:tcPr>
          <w:p w14:paraId="56CC4F5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175</w:t>
            </w:r>
          </w:p>
        </w:tc>
        <w:tc>
          <w:tcPr>
            <w:tcW w:w="3827" w:type="dxa"/>
            <w:vAlign w:val="center"/>
          </w:tcPr>
          <w:p w14:paraId="03C308C6">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花椰菜花叶病毒35S转录终止信号</w:t>
            </w:r>
          </w:p>
        </w:tc>
      </w:tr>
      <w:tr w14:paraId="390A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14:paraId="31814875">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LB</w:t>
            </w:r>
          </w:p>
        </w:tc>
        <w:tc>
          <w:tcPr>
            <w:tcW w:w="1077" w:type="dxa"/>
            <w:vAlign w:val="center"/>
          </w:tcPr>
          <w:p w14:paraId="107ABB5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11297</w:t>
            </w:r>
          </w:p>
        </w:tc>
        <w:tc>
          <w:tcPr>
            <w:tcW w:w="1077" w:type="dxa"/>
            <w:vAlign w:val="center"/>
          </w:tcPr>
          <w:p w14:paraId="11A6A926">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11616</w:t>
            </w:r>
          </w:p>
        </w:tc>
        <w:tc>
          <w:tcPr>
            <w:tcW w:w="1077" w:type="dxa"/>
            <w:vAlign w:val="center"/>
          </w:tcPr>
          <w:p w14:paraId="1150E538">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w:t>
            </w:r>
          </w:p>
        </w:tc>
        <w:tc>
          <w:tcPr>
            <w:tcW w:w="3827" w:type="dxa"/>
            <w:vAlign w:val="center"/>
          </w:tcPr>
          <w:p w14:paraId="2F10E263">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T-DNA左边界序列</w:t>
            </w:r>
          </w:p>
        </w:tc>
      </w:tr>
    </w:tbl>
    <w:p w14:paraId="15A47AC5">
      <w:pPr>
        <w:tabs>
          <w:tab w:val="left" w:pos="3315"/>
        </w:tabs>
        <w:spacing w:line="360" w:lineRule="auto"/>
        <w:ind w:firstLine="64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转基因抗虫耐除草剂玉米QY2569-42外源插入序列以单拷贝的方式插入在玉米基因组的第3号染色体上，实际插入序列全长为11 kb</w:t>
      </w:r>
      <w:r>
        <w:rPr>
          <w:rFonts w:hint="default" w:ascii="Times New Roman" w:hAnsi="Times New Roman" w:eastAsia="宋体" w:cs="Times New Roman"/>
          <w:bCs/>
          <w:sz w:val="21"/>
          <w:szCs w:val="21"/>
        </w:rPr>
        <w:t>，T-DNA区的</w:t>
      </w:r>
      <w:r>
        <w:rPr>
          <w:rFonts w:hint="eastAsia" w:cs="Times New Roman"/>
          <w:bCs/>
          <w:sz w:val="21"/>
          <w:szCs w:val="21"/>
          <w:lang w:val="en-US" w:eastAsia="zh-CN"/>
        </w:rPr>
        <w:t>L</w:t>
      </w:r>
      <w:r>
        <w:rPr>
          <w:rFonts w:hint="default" w:ascii="Times New Roman" w:hAnsi="Times New Roman" w:eastAsia="宋体" w:cs="Times New Roman"/>
          <w:bCs/>
          <w:sz w:val="21"/>
          <w:szCs w:val="21"/>
        </w:rPr>
        <w:t>B端和</w:t>
      </w:r>
      <w:r>
        <w:rPr>
          <w:rFonts w:hint="eastAsia" w:cs="Times New Roman"/>
          <w:bCs/>
          <w:sz w:val="21"/>
          <w:szCs w:val="21"/>
          <w:lang w:val="en-US" w:eastAsia="zh-CN"/>
        </w:rPr>
        <w:t>R</w:t>
      </w:r>
      <w:r>
        <w:rPr>
          <w:rFonts w:hint="default" w:ascii="Times New Roman" w:hAnsi="Times New Roman" w:eastAsia="宋体" w:cs="Times New Roman"/>
          <w:bCs/>
          <w:sz w:val="21"/>
          <w:szCs w:val="21"/>
        </w:rPr>
        <w:t>B端分别位于玉米基因组上的</w:t>
      </w:r>
      <w:r>
        <w:rPr>
          <w:rFonts w:hint="eastAsia" w:cs="Times New Roman"/>
          <w:bCs/>
          <w:sz w:val="21"/>
          <w:szCs w:val="21"/>
          <w:lang w:val="en-US" w:eastAsia="zh-CN"/>
        </w:rPr>
        <w:t>5</w:t>
      </w:r>
      <w:r>
        <w:rPr>
          <w:rFonts w:hint="default" w:ascii="Times New Roman" w:hAnsi="Times New Roman" w:eastAsia="宋体" w:cs="Times New Roman"/>
          <w:kern w:val="0"/>
          <w:sz w:val="21"/>
          <w:szCs w:val="21"/>
        </w:rPr>
        <w:t>′</w:t>
      </w:r>
      <w:r>
        <w:rPr>
          <w:rFonts w:hint="default" w:ascii="Times New Roman" w:hAnsi="Times New Roman" w:eastAsia="宋体" w:cs="Times New Roman"/>
          <w:bCs/>
          <w:sz w:val="21"/>
          <w:szCs w:val="21"/>
        </w:rPr>
        <w:t>端和</w:t>
      </w:r>
      <w:r>
        <w:rPr>
          <w:rFonts w:hint="eastAsia" w:cs="Times New Roman"/>
          <w:bCs/>
          <w:sz w:val="21"/>
          <w:szCs w:val="21"/>
          <w:lang w:val="en-US" w:eastAsia="zh-CN"/>
        </w:rPr>
        <w:t>3</w:t>
      </w:r>
      <w:r>
        <w:rPr>
          <w:rFonts w:hint="default" w:ascii="Times New Roman" w:hAnsi="Times New Roman" w:eastAsia="宋体" w:cs="Times New Roman"/>
          <w:kern w:val="0"/>
          <w:sz w:val="21"/>
          <w:szCs w:val="21"/>
        </w:rPr>
        <w:t>′</w:t>
      </w:r>
      <w:r>
        <w:rPr>
          <w:rFonts w:hint="default" w:ascii="Times New Roman" w:hAnsi="Times New Roman" w:eastAsia="宋体" w:cs="Times New Roman"/>
          <w:bCs/>
          <w:sz w:val="21"/>
          <w:szCs w:val="21"/>
        </w:rPr>
        <w:t>端，在T-DNA插入基因组序列时</w:t>
      </w:r>
      <w:r>
        <w:rPr>
          <w:rFonts w:hint="eastAsia" w:cs="Times New Roman"/>
          <w:bCs/>
          <w:sz w:val="21"/>
          <w:szCs w:val="21"/>
          <w:lang w:val="en-US" w:eastAsia="zh-CN"/>
        </w:rPr>
        <w:t>5</w:t>
      </w:r>
      <w:r>
        <w:rPr>
          <w:rFonts w:hint="default" w:ascii="Times New Roman" w:hAnsi="Times New Roman" w:eastAsia="宋体" w:cs="Times New Roman"/>
          <w:bCs/>
          <w:sz w:val="21"/>
          <w:szCs w:val="21"/>
        </w:rPr>
        <w:t>’端与</w:t>
      </w:r>
      <w:r>
        <w:rPr>
          <w:rFonts w:hint="eastAsia" w:cs="Times New Roman"/>
          <w:bCs/>
          <w:sz w:val="21"/>
          <w:szCs w:val="21"/>
          <w:lang w:val="en-US" w:eastAsia="zh-CN"/>
        </w:rPr>
        <w:t>3</w:t>
      </w:r>
      <w:r>
        <w:rPr>
          <w:rFonts w:hint="default" w:ascii="Times New Roman" w:hAnsi="Times New Roman" w:eastAsia="宋体" w:cs="Times New Roman"/>
          <w:bCs/>
          <w:sz w:val="21"/>
          <w:szCs w:val="21"/>
        </w:rPr>
        <w:t>’端发生了415 bp的序列重复</w:t>
      </w:r>
      <w:r>
        <w:rPr>
          <w:rFonts w:hint="default" w:ascii="Times New Roman" w:hAnsi="Times New Roman" w:eastAsia="宋体" w:cs="Times New Roman"/>
          <w:sz w:val="21"/>
          <w:szCs w:val="21"/>
        </w:rPr>
        <w:t>，具体位置及相关表达元件见图</w:t>
      </w:r>
      <w:r>
        <w:rPr>
          <w:rFonts w:hint="eastAsia" w:cs="Times New Roman"/>
          <w:sz w:val="21"/>
          <w:szCs w:val="21"/>
          <w:lang w:val="en-US" w:eastAsia="zh-CN"/>
        </w:rPr>
        <w:t>2</w:t>
      </w:r>
      <w:r>
        <w:rPr>
          <w:rFonts w:hint="default" w:ascii="Times New Roman" w:hAnsi="Times New Roman" w:eastAsia="宋体" w:cs="Times New Roman"/>
          <w:sz w:val="21"/>
          <w:szCs w:val="21"/>
        </w:rPr>
        <w:t>-2</w:t>
      </w:r>
      <w:r>
        <w:rPr>
          <w:rFonts w:hint="default" w:ascii="Times New Roman" w:hAnsi="Times New Roman" w:eastAsia="宋体" w:cs="Times New Roman"/>
          <w:bCs/>
          <w:sz w:val="21"/>
          <w:szCs w:val="21"/>
        </w:rPr>
        <w:t>。研发者提供了600 bp的</w:t>
      </w:r>
      <w:r>
        <w:rPr>
          <w:rFonts w:hint="eastAsia" w:cs="Times New Roman"/>
          <w:bCs/>
          <w:sz w:val="21"/>
          <w:szCs w:val="21"/>
          <w:lang w:val="en-US" w:eastAsia="zh-CN"/>
        </w:rPr>
        <w:t>L</w:t>
      </w:r>
      <w:r>
        <w:rPr>
          <w:rFonts w:hint="default" w:ascii="Times New Roman" w:hAnsi="Times New Roman" w:eastAsia="宋体" w:cs="Times New Roman"/>
          <w:bCs/>
          <w:sz w:val="21"/>
          <w:szCs w:val="21"/>
        </w:rPr>
        <w:t>B端基因组旁侧序列和600 bp的</w:t>
      </w:r>
      <w:r>
        <w:rPr>
          <w:rFonts w:hint="eastAsia" w:cs="Times New Roman"/>
          <w:bCs/>
          <w:sz w:val="21"/>
          <w:szCs w:val="21"/>
          <w:lang w:val="en-US" w:eastAsia="zh-CN"/>
        </w:rPr>
        <w:t>R</w:t>
      </w:r>
      <w:r>
        <w:rPr>
          <w:rFonts w:hint="default" w:ascii="Times New Roman" w:hAnsi="Times New Roman" w:eastAsia="宋体" w:cs="Times New Roman"/>
          <w:bCs/>
          <w:sz w:val="21"/>
          <w:szCs w:val="21"/>
        </w:rPr>
        <w:t>B端基因组旁侧序列，</w:t>
      </w:r>
      <w:r>
        <w:rPr>
          <w:rFonts w:hint="eastAsia" w:cs="Times New Roman"/>
          <w:bCs/>
          <w:sz w:val="21"/>
          <w:szCs w:val="21"/>
          <w:lang w:val="en-US" w:eastAsia="zh-CN"/>
        </w:rPr>
        <w:t>L</w:t>
      </w:r>
      <w:r>
        <w:rPr>
          <w:rFonts w:hint="default" w:ascii="Times New Roman" w:hAnsi="Times New Roman" w:eastAsia="宋体" w:cs="Times New Roman"/>
          <w:bCs/>
          <w:sz w:val="21"/>
          <w:szCs w:val="21"/>
        </w:rPr>
        <w:t>B端和</w:t>
      </w:r>
      <w:r>
        <w:rPr>
          <w:rFonts w:hint="eastAsia" w:cs="Times New Roman"/>
          <w:bCs/>
          <w:sz w:val="21"/>
          <w:szCs w:val="21"/>
          <w:lang w:val="en-US" w:eastAsia="zh-CN"/>
        </w:rPr>
        <w:t>R</w:t>
      </w:r>
      <w:r>
        <w:rPr>
          <w:rFonts w:hint="default" w:ascii="Times New Roman" w:hAnsi="Times New Roman" w:eastAsia="宋体" w:cs="Times New Roman"/>
          <w:bCs/>
          <w:sz w:val="21"/>
          <w:szCs w:val="21"/>
        </w:rPr>
        <w:t>B端旁侧序列信息如下。</w:t>
      </w:r>
    </w:p>
    <w:p w14:paraId="2971D5D7">
      <w:pPr>
        <w:spacing w:line="360" w:lineRule="auto"/>
        <w:ind w:firstLine="0" w:firstLineChars="0"/>
        <w:jc w:val="lef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drawing>
          <wp:inline distT="0" distB="0" distL="0" distR="0">
            <wp:extent cx="5274310" cy="1034415"/>
            <wp:effectExtent l="0" t="0" r="254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425" cy="1034935"/>
                    </a:xfrm>
                    <a:prstGeom prst="rect">
                      <a:avLst/>
                    </a:prstGeom>
                  </pic:spPr>
                </pic:pic>
              </a:graphicData>
            </a:graphic>
          </wp:inline>
        </w:drawing>
      </w:r>
    </w:p>
    <w:p w14:paraId="26D01EE6">
      <w:pPr>
        <w:pStyle w:val="8"/>
        <w:spacing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图</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-2 抗虫耐除草剂玉米QY2569-42转化体外源插入序列的位置图</w:t>
      </w:r>
    </w:p>
    <w:p w14:paraId="103B3A4A">
      <w:pPr>
        <w:spacing w:before="156" w:beforeLines="50" w:line="312" w:lineRule="auto"/>
        <w:ind w:firstLine="0" w:firstLineChars="0"/>
        <w:jc w:val="left"/>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L</w:t>
      </w:r>
      <w:r>
        <w:rPr>
          <w:rFonts w:ascii="Times New Roman" w:hAnsi="Times New Roman" w:cs="Times New Roman"/>
          <w:b/>
          <w:bCs/>
          <w:sz w:val="24"/>
          <w:szCs w:val="24"/>
        </w:rPr>
        <w:t>B端（</w:t>
      </w:r>
      <w:r>
        <w:rPr>
          <w:rFonts w:hint="eastAsia" w:ascii="Times New Roman" w:hAnsi="Times New Roman" w:cs="Times New Roman"/>
          <w:b/>
          <w:bCs/>
          <w:sz w:val="24"/>
          <w:szCs w:val="24"/>
        </w:rPr>
        <w:t>基因组</w:t>
      </w:r>
      <w:r>
        <w:rPr>
          <w:rFonts w:hint="eastAsia" w:ascii="Times New Roman" w:hAnsi="Times New Roman" w:cs="Times New Roman"/>
          <w:b/>
          <w:bCs/>
          <w:sz w:val="24"/>
          <w:szCs w:val="24"/>
          <w:lang w:val="en-US" w:eastAsia="zh-CN"/>
        </w:rPr>
        <w:t>5</w:t>
      </w:r>
      <w:r>
        <w:rPr>
          <w:rFonts w:ascii="Times New Roman" w:hAnsi="Times New Roman" w:cs="Times New Roman"/>
          <w:kern w:val="0"/>
          <w:sz w:val="24"/>
          <w:szCs w:val="24"/>
        </w:rPr>
        <w:t>′</w:t>
      </w:r>
      <w:r>
        <w:rPr>
          <w:rFonts w:ascii="Times New Roman" w:hAnsi="Times New Roman" w:cs="Times New Roman"/>
          <w:b/>
          <w:bCs/>
          <w:sz w:val="24"/>
          <w:szCs w:val="24"/>
        </w:rPr>
        <w:t>端）旁侧序列1000 bp：</w:t>
      </w:r>
    </w:p>
    <w:p w14:paraId="3DA16E72">
      <w:pPr>
        <w:spacing w:line="440" w:lineRule="exact"/>
        <w:ind w:firstLine="0" w:firstLineChars="0"/>
        <w:jc w:val="left"/>
        <w:rPr>
          <w:rFonts w:hint="eastAsia" w:ascii="Courier New" w:hAnsi="Courier New"/>
          <w:sz w:val="21"/>
          <w:szCs w:val="21"/>
          <w:u w:val="single"/>
        </w:rPr>
      </w:pPr>
      <w:r>
        <w:rPr>
          <w:rFonts w:ascii="Times New Roman" w:hAnsi="Times New Roman" w:cs="Times New Roman"/>
          <w:caps/>
          <w:sz w:val="21"/>
          <w:szCs w:val="21"/>
        </w:rPr>
        <w:t>&gt;QY2569-42_</w:t>
      </w:r>
      <w:r>
        <w:rPr>
          <w:rFonts w:hint="eastAsia" w:cs="Times New Roman"/>
          <w:caps/>
          <w:sz w:val="21"/>
          <w:szCs w:val="21"/>
          <w:lang w:val="en-US" w:eastAsia="zh-CN"/>
        </w:rPr>
        <w:t>L</w:t>
      </w:r>
      <w:r>
        <w:rPr>
          <w:rFonts w:ascii="Times New Roman" w:hAnsi="Times New Roman" w:cs="Times New Roman"/>
          <w:caps/>
          <w:sz w:val="21"/>
          <w:szCs w:val="21"/>
        </w:rPr>
        <w:t>B</w:t>
      </w:r>
    </w:p>
    <w:p w14:paraId="7599442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420"/>
        <w:textAlignment w:val="auto"/>
        <w:rPr>
          <w:rFonts w:hint="eastAsia" w:ascii="Courier New" w:hAnsi="Courier New"/>
          <w:sz w:val="21"/>
          <w:szCs w:val="21"/>
          <w:u w:val="none"/>
        </w:rPr>
      </w:pPr>
      <w:r>
        <w:rPr>
          <w:rFonts w:hint="eastAsia" w:ascii="Courier New" w:hAnsi="Courier New"/>
          <w:sz w:val="21"/>
          <w:szCs w:val="21"/>
          <w:u w:val="none"/>
        </w:rPr>
        <w:t>1  ACGCCCGCGC GCACCCCTCC CCGGCGGCTG TGGCCGCGCC CCGCGCGCCC</w:t>
      </w:r>
    </w:p>
    <w:p w14:paraId="5E2E6CBD">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420"/>
        <w:textAlignment w:val="auto"/>
        <w:rPr>
          <w:rFonts w:hint="eastAsia" w:ascii="Courier New" w:hAnsi="Courier New"/>
          <w:sz w:val="21"/>
          <w:szCs w:val="21"/>
          <w:u w:val="none"/>
        </w:rPr>
      </w:pPr>
      <w:r>
        <w:rPr>
          <w:rFonts w:hint="eastAsia" w:ascii="Courier New" w:hAnsi="Courier New"/>
          <w:sz w:val="21"/>
          <w:szCs w:val="21"/>
          <w:u w:val="none"/>
        </w:rPr>
        <w:t>51  GGTGCGGCCG CGCCCGCCCC CGGCCGGCCC GGTCTCGTCC TCCCCTGCGC</w:t>
      </w:r>
    </w:p>
    <w:p w14:paraId="4677FA86">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101</w:t>
      </w:r>
      <w:r>
        <w:rPr>
          <w:rFonts w:hint="eastAsia" w:ascii="Courier New" w:hAnsi="Courier New"/>
          <w:sz w:val="21"/>
          <w:szCs w:val="21"/>
          <w:u w:val="none"/>
          <w:lang w:eastAsia="zh-CN"/>
        </w:rPr>
        <w:t xml:space="preserve">  </w:t>
      </w:r>
      <w:r>
        <w:rPr>
          <w:rFonts w:hint="eastAsia" w:ascii="Courier New" w:hAnsi="Courier New"/>
          <w:sz w:val="21"/>
          <w:szCs w:val="21"/>
          <w:u w:val="none"/>
        </w:rPr>
        <w:t>AGCCCCCTTC CCCTCCTCTC TCTTCCATGG ATGGGAGGAA GAAGATGAGG</w:t>
      </w:r>
    </w:p>
    <w:p w14:paraId="6F3DE52C">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151</w:t>
      </w:r>
      <w:r>
        <w:rPr>
          <w:rFonts w:hint="eastAsia" w:ascii="Courier New" w:hAnsi="Courier New"/>
          <w:sz w:val="21"/>
          <w:szCs w:val="21"/>
          <w:u w:val="none"/>
          <w:lang w:eastAsia="zh-CN"/>
        </w:rPr>
        <w:t xml:space="preserve">  </w:t>
      </w:r>
      <w:r>
        <w:rPr>
          <w:rFonts w:hint="eastAsia" w:ascii="Courier New" w:hAnsi="Courier New"/>
          <w:sz w:val="21"/>
          <w:szCs w:val="21"/>
          <w:u w:val="none"/>
        </w:rPr>
        <w:t>AGAGGAAGAA GAAGATGGCA GTTCTGTAAA TTAGGACGCG CGAATTACAG</w:t>
      </w:r>
    </w:p>
    <w:p w14:paraId="69A38B38">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201</w:t>
      </w:r>
      <w:r>
        <w:rPr>
          <w:rFonts w:hint="eastAsia" w:ascii="Courier New" w:hAnsi="Courier New"/>
          <w:sz w:val="21"/>
          <w:szCs w:val="21"/>
          <w:u w:val="none"/>
          <w:lang w:eastAsia="zh-CN"/>
        </w:rPr>
        <w:t xml:space="preserve">  </w:t>
      </w:r>
      <w:r>
        <w:rPr>
          <w:rFonts w:hint="eastAsia" w:ascii="Courier New" w:hAnsi="Courier New"/>
          <w:sz w:val="21"/>
          <w:szCs w:val="21"/>
          <w:u w:val="none"/>
        </w:rPr>
        <w:t>TATGGTTTAA AACATTCATA AGTTTTGCGT TTTAAATCCG ATTTGATCCA</w:t>
      </w:r>
    </w:p>
    <w:p w14:paraId="5DE78C3E">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251</w:t>
      </w:r>
      <w:r>
        <w:rPr>
          <w:rFonts w:hint="eastAsia" w:ascii="Courier New" w:hAnsi="Courier New"/>
          <w:sz w:val="21"/>
          <w:szCs w:val="21"/>
          <w:u w:val="none"/>
          <w:lang w:eastAsia="zh-CN"/>
        </w:rPr>
        <w:t xml:space="preserve">  </w:t>
      </w:r>
      <w:r>
        <w:rPr>
          <w:rFonts w:hint="eastAsia" w:ascii="Courier New" w:hAnsi="Courier New"/>
          <w:sz w:val="21"/>
          <w:szCs w:val="21"/>
          <w:u w:val="none"/>
        </w:rPr>
        <w:t>TTCAAGTTGC GTTAGATTCG TATTAAAATA ATCTTAATTT AGAAATATTT</w:t>
      </w:r>
    </w:p>
    <w:p w14:paraId="69B88C9D">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301</w:t>
      </w:r>
      <w:r>
        <w:rPr>
          <w:rFonts w:hint="eastAsia" w:ascii="Courier New" w:hAnsi="Courier New"/>
          <w:sz w:val="21"/>
          <w:szCs w:val="21"/>
          <w:u w:val="none"/>
          <w:lang w:eastAsia="zh-CN"/>
        </w:rPr>
        <w:t xml:space="preserve">  </w:t>
      </w:r>
      <w:r>
        <w:rPr>
          <w:rFonts w:hint="eastAsia" w:ascii="Courier New" w:hAnsi="Courier New"/>
          <w:sz w:val="21"/>
          <w:szCs w:val="21"/>
          <w:u w:val="none"/>
        </w:rPr>
        <w:t>ATCCCAATTT TTGCACATTT TATTTAATTT AGTTAAACGT TTGTTTAACC</w:t>
      </w:r>
    </w:p>
    <w:p w14:paraId="3DFF7876">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351</w:t>
      </w:r>
      <w:r>
        <w:rPr>
          <w:rFonts w:hint="eastAsia" w:ascii="Courier New" w:hAnsi="Courier New"/>
          <w:sz w:val="21"/>
          <w:szCs w:val="21"/>
          <w:u w:val="none"/>
          <w:lang w:eastAsia="zh-CN"/>
        </w:rPr>
        <w:t xml:space="preserve">  </w:t>
      </w:r>
      <w:r>
        <w:rPr>
          <w:rFonts w:hint="eastAsia" w:ascii="Courier New" w:hAnsi="Courier New"/>
          <w:sz w:val="21"/>
          <w:szCs w:val="21"/>
          <w:u w:val="none"/>
        </w:rPr>
        <w:t>AGTGGCTACT AAAACGACAT TTCAATTTAA AAATCTAATT TAGGAATTCG</w:t>
      </w:r>
    </w:p>
    <w:p w14:paraId="0DDD9F88">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401</w:t>
      </w:r>
      <w:r>
        <w:rPr>
          <w:rFonts w:hint="eastAsia" w:ascii="Courier New" w:hAnsi="Courier New"/>
          <w:sz w:val="21"/>
          <w:szCs w:val="21"/>
          <w:u w:val="none"/>
          <w:lang w:eastAsia="zh-CN"/>
        </w:rPr>
        <w:t xml:space="preserve">  </w:t>
      </w:r>
      <w:r>
        <w:rPr>
          <w:rFonts w:hint="eastAsia" w:ascii="Courier New" w:hAnsi="Courier New"/>
          <w:sz w:val="21"/>
          <w:szCs w:val="21"/>
          <w:u w:val="none"/>
        </w:rPr>
        <w:t>ATTCGCGCAT TTATAATTAG TCACCAATAT GATTAACCTT AACTGAAATG</w:t>
      </w:r>
    </w:p>
    <w:p w14:paraId="08918811">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451</w:t>
      </w:r>
      <w:r>
        <w:rPr>
          <w:rFonts w:hint="eastAsia" w:ascii="Courier New" w:hAnsi="Courier New"/>
          <w:sz w:val="21"/>
          <w:szCs w:val="21"/>
          <w:u w:val="none"/>
          <w:lang w:eastAsia="zh-CN"/>
        </w:rPr>
        <w:t xml:space="preserve">  </w:t>
      </w:r>
      <w:r>
        <w:rPr>
          <w:rFonts w:hint="eastAsia" w:ascii="Courier New" w:hAnsi="Courier New"/>
          <w:sz w:val="21"/>
          <w:szCs w:val="21"/>
          <w:u w:val="none"/>
        </w:rPr>
        <w:t>TTACATATTA ATAATTGTTT AGTGTAATCA CGTTGTCATT TATTTATTAG</w:t>
      </w:r>
    </w:p>
    <w:p w14:paraId="13FC3A5D">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501</w:t>
      </w:r>
      <w:r>
        <w:rPr>
          <w:rFonts w:hint="eastAsia" w:ascii="Courier New" w:hAnsi="Courier New"/>
          <w:sz w:val="21"/>
          <w:szCs w:val="21"/>
          <w:u w:val="none"/>
          <w:lang w:eastAsia="zh-CN"/>
        </w:rPr>
        <w:t xml:space="preserve">  </w:t>
      </w:r>
      <w:r>
        <w:rPr>
          <w:rFonts w:hint="eastAsia" w:ascii="Courier New" w:hAnsi="Courier New"/>
          <w:sz w:val="21"/>
          <w:szCs w:val="21"/>
          <w:u w:val="none"/>
        </w:rPr>
        <w:t>TTTCGCATGT CGGTCCGCGC GTACCGTGCG CGTGCCGCGG TGCTGTTTCA</w:t>
      </w:r>
    </w:p>
    <w:p w14:paraId="64A058CF">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551</w:t>
      </w:r>
      <w:r>
        <w:rPr>
          <w:rFonts w:hint="eastAsia" w:ascii="Courier New" w:hAnsi="Courier New"/>
          <w:sz w:val="21"/>
          <w:szCs w:val="21"/>
          <w:u w:val="none"/>
          <w:lang w:eastAsia="zh-CN"/>
        </w:rPr>
        <w:t xml:space="preserve">  </w:t>
      </w:r>
      <w:r>
        <w:rPr>
          <w:rFonts w:hint="eastAsia" w:ascii="Courier New" w:hAnsi="Courier New"/>
          <w:sz w:val="21"/>
          <w:szCs w:val="21"/>
          <w:u w:val="none"/>
        </w:rPr>
        <w:t>CGCATGTCGT TTGCAAGTGT CCGCGCGTTG TCGCGTGTCG TTCGCGTGTG</w:t>
      </w:r>
    </w:p>
    <w:p w14:paraId="06ECEA93">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601</w:t>
      </w:r>
      <w:r>
        <w:rPr>
          <w:rFonts w:hint="eastAsia" w:ascii="Courier New" w:hAnsi="Courier New"/>
          <w:sz w:val="21"/>
          <w:szCs w:val="21"/>
          <w:u w:val="none"/>
          <w:lang w:eastAsia="zh-CN"/>
        </w:rPr>
        <w:t xml:space="preserve">  </w:t>
      </w:r>
      <w:r>
        <w:rPr>
          <w:rFonts w:hint="eastAsia" w:ascii="Courier New" w:hAnsi="Courier New"/>
          <w:sz w:val="21"/>
          <w:szCs w:val="21"/>
          <w:u w:val="none"/>
        </w:rPr>
        <w:t>gtcgttttta atgtactgaa ttaacgccga attaattcgg gggaattcac</w:t>
      </w:r>
    </w:p>
    <w:p w14:paraId="057A5720">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651</w:t>
      </w:r>
      <w:r>
        <w:rPr>
          <w:rFonts w:hint="eastAsia" w:ascii="Courier New" w:hAnsi="Courier New"/>
          <w:sz w:val="21"/>
          <w:szCs w:val="21"/>
          <w:u w:val="none"/>
          <w:lang w:eastAsia="zh-CN"/>
        </w:rPr>
        <w:t xml:space="preserve">  </w:t>
      </w:r>
      <w:r>
        <w:rPr>
          <w:rFonts w:hint="eastAsia" w:ascii="Courier New" w:hAnsi="Courier New"/>
          <w:sz w:val="21"/>
          <w:szCs w:val="21"/>
          <w:u w:val="none"/>
        </w:rPr>
        <w:t>tagtgggccc gatctggatt ttagtactgg attttggttt taggaattag</w:t>
      </w:r>
    </w:p>
    <w:p w14:paraId="116BFFD0">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701</w:t>
      </w:r>
      <w:r>
        <w:rPr>
          <w:rFonts w:hint="eastAsia" w:ascii="Courier New" w:hAnsi="Courier New"/>
          <w:sz w:val="21"/>
          <w:szCs w:val="21"/>
          <w:u w:val="none"/>
          <w:lang w:eastAsia="zh-CN"/>
        </w:rPr>
        <w:t xml:space="preserve">  </w:t>
      </w:r>
      <w:r>
        <w:rPr>
          <w:rFonts w:hint="eastAsia" w:ascii="Courier New" w:hAnsi="Courier New"/>
          <w:sz w:val="21"/>
          <w:szCs w:val="21"/>
          <w:u w:val="none"/>
        </w:rPr>
        <w:t>aaattttatt gatagaagta ttttacaaat acaaatacat actaagggtt</w:t>
      </w:r>
    </w:p>
    <w:p w14:paraId="01806C61">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751</w:t>
      </w:r>
      <w:r>
        <w:rPr>
          <w:rFonts w:hint="eastAsia" w:ascii="Courier New" w:hAnsi="Courier New"/>
          <w:sz w:val="21"/>
          <w:szCs w:val="21"/>
          <w:u w:val="none"/>
          <w:lang w:eastAsia="zh-CN"/>
        </w:rPr>
        <w:t xml:space="preserve">  </w:t>
      </w:r>
      <w:r>
        <w:rPr>
          <w:rFonts w:hint="eastAsia" w:ascii="Courier New" w:hAnsi="Courier New"/>
          <w:sz w:val="21"/>
          <w:szCs w:val="21"/>
          <w:u w:val="none"/>
        </w:rPr>
        <w:t>tcttatatgc tcaacacatg agcgaaaccc tataggaacc ctaattccct</w:t>
      </w:r>
    </w:p>
    <w:p w14:paraId="6B560C75">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801</w:t>
      </w:r>
      <w:r>
        <w:rPr>
          <w:rFonts w:hint="eastAsia" w:ascii="Courier New" w:hAnsi="Courier New"/>
          <w:sz w:val="21"/>
          <w:szCs w:val="21"/>
          <w:u w:val="none"/>
          <w:lang w:eastAsia="zh-CN"/>
        </w:rPr>
        <w:t xml:space="preserve">  </w:t>
      </w:r>
      <w:r>
        <w:rPr>
          <w:rFonts w:hint="eastAsia" w:ascii="Courier New" w:hAnsi="Courier New"/>
          <w:sz w:val="21"/>
          <w:szCs w:val="21"/>
          <w:u w:val="none"/>
        </w:rPr>
        <w:t>tatctgggaa ctactcacac attattatgg agaaactatc aaatctgggt</w:t>
      </w:r>
    </w:p>
    <w:p w14:paraId="78E6025E">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851</w:t>
      </w:r>
      <w:r>
        <w:rPr>
          <w:rFonts w:hint="eastAsia" w:ascii="Courier New" w:hAnsi="Courier New"/>
          <w:sz w:val="21"/>
          <w:szCs w:val="21"/>
          <w:u w:val="none"/>
          <w:lang w:eastAsia="zh-CN"/>
        </w:rPr>
        <w:t xml:space="preserve">  </w:t>
      </w:r>
      <w:r>
        <w:rPr>
          <w:rFonts w:hint="eastAsia" w:ascii="Courier New" w:hAnsi="Courier New"/>
          <w:sz w:val="21"/>
          <w:szCs w:val="21"/>
          <w:u w:val="none"/>
        </w:rPr>
        <w:t>cacggggcga accgggcgcg gaggcgcggg cagctcgaag tccctctgcc</w:t>
      </w:r>
    </w:p>
    <w:p w14:paraId="2DAE9E59">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901</w:t>
      </w:r>
      <w:r>
        <w:rPr>
          <w:rFonts w:hint="eastAsia" w:ascii="Courier New" w:hAnsi="Courier New"/>
          <w:sz w:val="21"/>
          <w:szCs w:val="21"/>
          <w:u w:val="none"/>
          <w:lang w:eastAsia="zh-CN"/>
        </w:rPr>
        <w:t xml:space="preserve">  </w:t>
      </w:r>
      <w:r>
        <w:rPr>
          <w:rFonts w:hint="eastAsia" w:ascii="Courier New" w:hAnsi="Courier New"/>
          <w:sz w:val="21"/>
          <w:szCs w:val="21"/>
          <w:u w:val="none"/>
        </w:rPr>
        <w:t>agaacccgac gtcgtgccag ccaccgtgct tgtagccggc tgcgcgcagc</w:t>
      </w:r>
    </w:p>
    <w:p w14:paraId="07411F24">
      <w:pPr>
        <w:spacing w:line="240" w:lineRule="auto"/>
        <w:ind w:left="-105" w:leftChars="-50" w:right="-105" w:rightChars="-50" w:firstLine="420"/>
        <w:rPr>
          <w:rFonts w:hint="eastAsia" w:ascii="Times New Roman" w:hAnsi="Times New Roman" w:cs="Times New Roman"/>
          <w:b/>
          <w:bCs/>
          <w:sz w:val="21"/>
          <w:szCs w:val="21"/>
        </w:rPr>
      </w:pPr>
      <w:r>
        <w:rPr>
          <w:rFonts w:hint="eastAsia" w:ascii="Courier New" w:hAnsi="Courier New"/>
          <w:sz w:val="21"/>
          <w:szCs w:val="21"/>
          <w:u w:val="none"/>
        </w:rPr>
        <w:t>951</w:t>
      </w:r>
      <w:r>
        <w:rPr>
          <w:rFonts w:hint="eastAsia" w:ascii="Courier New" w:hAnsi="Courier New"/>
          <w:sz w:val="21"/>
          <w:szCs w:val="21"/>
          <w:u w:val="none"/>
          <w:lang w:eastAsia="zh-CN"/>
        </w:rPr>
        <w:t xml:space="preserve">  </w:t>
      </w:r>
      <w:r>
        <w:rPr>
          <w:rFonts w:hint="eastAsia" w:ascii="Courier New" w:hAnsi="Courier New"/>
          <w:sz w:val="21"/>
          <w:szCs w:val="21"/>
          <w:u w:val="none"/>
        </w:rPr>
        <w:t>gtgccccgag cggtgtagcc cagggcttcg tggagcctca cggagggatc</w:t>
      </w:r>
    </w:p>
    <w:p w14:paraId="4D4C0203">
      <w:pPr>
        <w:spacing w:line="440" w:lineRule="exact"/>
        <w:ind w:firstLine="0" w:firstLineChars="0"/>
        <w:jc w:val="left"/>
        <w:rPr>
          <w:rFonts w:hint="eastAsia" w:cs="Times New Roman"/>
          <w:b/>
          <w:bCs/>
          <w:sz w:val="21"/>
          <w:szCs w:val="21"/>
          <w:lang w:val="en-US" w:eastAsia="zh-CN"/>
        </w:rPr>
      </w:pPr>
    </w:p>
    <w:p w14:paraId="3F30A025">
      <w:pPr>
        <w:spacing w:line="440" w:lineRule="exact"/>
        <w:ind w:firstLine="0" w:firstLineChars="0"/>
        <w:jc w:val="left"/>
        <w:rPr>
          <w:rFonts w:ascii="Times New Roman" w:hAnsi="Times New Roman" w:cs="Times New Roman"/>
          <w:caps/>
          <w:sz w:val="21"/>
          <w:szCs w:val="21"/>
        </w:rPr>
      </w:pPr>
      <w:r>
        <w:rPr>
          <w:rFonts w:hint="eastAsia" w:cs="Times New Roman"/>
          <w:b/>
          <w:bCs/>
          <w:sz w:val="21"/>
          <w:szCs w:val="21"/>
          <w:lang w:val="en-US" w:eastAsia="zh-CN"/>
        </w:rPr>
        <w:t>R</w:t>
      </w:r>
      <w:r>
        <w:rPr>
          <w:rFonts w:ascii="Times New Roman" w:hAnsi="Times New Roman" w:cs="Times New Roman"/>
          <w:b/>
          <w:bCs/>
          <w:sz w:val="21"/>
          <w:szCs w:val="21"/>
        </w:rPr>
        <w:t>B端（</w:t>
      </w:r>
      <w:r>
        <w:rPr>
          <w:rFonts w:hint="eastAsia" w:ascii="Times New Roman" w:hAnsi="Times New Roman" w:cs="Times New Roman"/>
          <w:b/>
          <w:bCs/>
          <w:sz w:val="21"/>
          <w:szCs w:val="21"/>
        </w:rPr>
        <w:t>基因组</w:t>
      </w:r>
      <w:r>
        <w:rPr>
          <w:rFonts w:hint="eastAsia" w:ascii="Times New Roman" w:hAnsi="Times New Roman" w:cs="Times New Roman"/>
          <w:b/>
          <w:bCs/>
          <w:sz w:val="21"/>
          <w:szCs w:val="21"/>
          <w:lang w:val="en-US" w:eastAsia="zh-CN"/>
        </w:rPr>
        <w:t>3</w:t>
      </w:r>
      <w:r>
        <w:rPr>
          <w:rFonts w:ascii="Times New Roman" w:hAnsi="Times New Roman" w:cs="Times New Roman"/>
          <w:kern w:val="0"/>
          <w:sz w:val="21"/>
          <w:szCs w:val="21"/>
        </w:rPr>
        <w:t>′</w:t>
      </w:r>
      <w:r>
        <w:rPr>
          <w:rFonts w:ascii="Times New Roman" w:hAnsi="Times New Roman" w:cs="Times New Roman"/>
          <w:b/>
          <w:bCs/>
          <w:sz w:val="21"/>
          <w:szCs w:val="21"/>
        </w:rPr>
        <w:t>端）旁侧序列1000 bp：</w:t>
      </w:r>
    </w:p>
    <w:p w14:paraId="3F78B90D">
      <w:pPr>
        <w:spacing w:line="440" w:lineRule="exact"/>
        <w:ind w:firstLine="0" w:firstLineChars="0"/>
        <w:jc w:val="left"/>
        <w:rPr>
          <w:rFonts w:hint="eastAsia" w:ascii="宋体" w:hAnsi="宋体"/>
          <w:sz w:val="21"/>
          <w:szCs w:val="24"/>
        </w:rPr>
      </w:pPr>
      <w:r>
        <w:rPr>
          <w:rFonts w:ascii="Times New Roman" w:hAnsi="Times New Roman" w:cs="Times New Roman"/>
          <w:caps/>
          <w:sz w:val="21"/>
          <w:szCs w:val="21"/>
        </w:rPr>
        <w:t>&gt;QY2569-42_</w:t>
      </w:r>
      <w:r>
        <w:rPr>
          <w:rFonts w:hint="eastAsia" w:cs="Times New Roman"/>
          <w:caps/>
          <w:sz w:val="21"/>
          <w:szCs w:val="21"/>
          <w:lang w:val="en-US" w:eastAsia="zh-CN"/>
        </w:rPr>
        <w:t>R</w:t>
      </w:r>
      <w:r>
        <w:rPr>
          <w:rFonts w:ascii="Times New Roman" w:hAnsi="Times New Roman" w:cs="Times New Roman"/>
          <w:caps/>
          <w:sz w:val="21"/>
          <w:szCs w:val="21"/>
        </w:rPr>
        <w:t>B</w:t>
      </w:r>
    </w:p>
    <w:p w14:paraId="6C42438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420"/>
        <w:textAlignment w:val="auto"/>
        <w:rPr>
          <w:rFonts w:hint="eastAsia" w:ascii="Courier New" w:hAnsi="Courier New"/>
          <w:sz w:val="21"/>
          <w:szCs w:val="21"/>
          <w:u w:val="none"/>
        </w:rPr>
      </w:pPr>
      <w:r>
        <w:rPr>
          <w:rFonts w:hint="eastAsia" w:ascii="Courier New" w:hAnsi="Courier New"/>
          <w:sz w:val="21"/>
          <w:szCs w:val="21"/>
          <w:u w:val="none"/>
        </w:rPr>
        <w:t>1</w:t>
      </w:r>
      <w:r>
        <w:rPr>
          <w:rFonts w:hint="eastAsia" w:ascii="Courier New" w:hAnsi="Courier New"/>
          <w:sz w:val="21"/>
          <w:szCs w:val="21"/>
          <w:u w:val="none"/>
          <w:lang w:eastAsia="zh-CN"/>
        </w:rPr>
        <w:t xml:space="preserve">  </w:t>
      </w:r>
      <w:r>
        <w:rPr>
          <w:rFonts w:hint="eastAsia" w:ascii="Courier New" w:hAnsi="Courier New"/>
          <w:sz w:val="21"/>
          <w:szCs w:val="21"/>
          <w:u w:val="none"/>
        </w:rPr>
        <w:t>ttttctcgtg caatcaacga ccttaaacac atcagctcta gtatacggcc</w:t>
      </w:r>
    </w:p>
    <w:p w14:paraId="6F619012">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420"/>
        <w:textAlignment w:val="auto"/>
        <w:rPr>
          <w:rFonts w:hint="eastAsia" w:ascii="Courier New" w:hAnsi="Courier New"/>
          <w:sz w:val="21"/>
          <w:szCs w:val="21"/>
          <w:u w:val="none"/>
        </w:rPr>
      </w:pPr>
      <w:r>
        <w:rPr>
          <w:rFonts w:hint="eastAsia" w:ascii="Courier New" w:hAnsi="Courier New"/>
          <w:sz w:val="21"/>
          <w:szCs w:val="21"/>
          <w:u w:val="none"/>
        </w:rPr>
        <w:t>51  gatcttctct atatattgtt catatgtttg ctgaaaggga agttagacat</w:t>
      </w:r>
    </w:p>
    <w:p w14:paraId="71B7E5A8">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101</w:t>
      </w:r>
      <w:r>
        <w:rPr>
          <w:rFonts w:hint="eastAsia" w:ascii="Courier New" w:hAnsi="Courier New"/>
          <w:sz w:val="21"/>
          <w:szCs w:val="21"/>
          <w:u w:val="none"/>
          <w:lang w:eastAsia="zh-CN"/>
        </w:rPr>
        <w:t xml:space="preserve">  </w:t>
      </w:r>
      <w:r>
        <w:rPr>
          <w:rFonts w:hint="eastAsia" w:ascii="Courier New" w:hAnsi="Courier New"/>
          <w:sz w:val="21"/>
          <w:szCs w:val="21"/>
          <w:u w:val="none"/>
        </w:rPr>
        <w:t>gacgaaaagt tgttcatggt agtccaaacc acaacccggc ccaaattgaa</w:t>
      </w:r>
    </w:p>
    <w:p w14:paraId="3B66182E">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151</w:t>
      </w:r>
      <w:r>
        <w:rPr>
          <w:rFonts w:hint="eastAsia" w:ascii="Courier New" w:hAnsi="Courier New"/>
          <w:sz w:val="21"/>
          <w:szCs w:val="21"/>
          <w:u w:val="none"/>
          <w:lang w:eastAsia="zh-CN"/>
        </w:rPr>
        <w:t xml:space="preserve">  </w:t>
      </w:r>
      <w:r>
        <w:rPr>
          <w:rFonts w:hint="eastAsia" w:ascii="Courier New" w:hAnsi="Courier New"/>
          <w:sz w:val="21"/>
          <w:szCs w:val="21"/>
          <w:u w:val="none"/>
        </w:rPr>
        <w:t>aagataggtt taagggtgat ccaaattgag acttaggtaa taaaaggtgg</w:t>
      </w:r>
    </w:p>
    <w:p w14:paraId="45364956">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201</w:t>
      </w:r>
      <w:r>
        <w:rPr>
          <w:rFonts w:hint="eastAsia" w:ascii="Courier New" w:hAnsi="Courier New"/>
          <w:sz w:val="21"/>
          <w:szCs w:val="21"/>
          <w:u w:val="none"/>
          <w:lang w:eastAsia="zh-CN"/>
        </w:rPr>
        <w:t xml:space="preserve">  </w:t>
      </w:r>
      <w:r>
        <w:rPr>
          <w:rFonts w:hint="eastAsia" w:ascii="Courier New" w:hAnsi="Courier New"/>
          <w:sz w:val="21"/>
          <w:szCs w:val="21"/>
          <w:u w:val="none"/>
        </w:rPr>
        <w:t>atcaaagtgc aatttacttt ttttttactg taatttcttc tggctggttt</w:t>
      </w:r>
    </w:p>
    <w:p w14:paraId="741BAF33">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251</w:t>
      </w:r>
      <w:r>
        <w:rPr>
          <w:rFonts w:hint="eastAsia" w:ascii="Courier New" w:hAnsi="Courier New"/>
          <w:sz w:val="21"/>
          <w:szCs w:val="21"/>
          <w:u w:val="none"/>
          <w:lang w:eastAsia="zh-CN"/>
        </w:rPr>
        <w:t xml:space="preserve">  </w:t>
      </w:r>
      <w:r>
        <w:rPr>
          <w:rFonts w:hint="eastAsia" w:ascii="Courier New" w:hAnsi="Courier New"/>
          <w:sz w:val="21"/>
          <w:szCs w:val="21"/>
          <w:u w:val="none"/>
        </w:rPr>
        <w:t>gttggtcgcc gttaggaccg ggtgacgccg tcaaccccgc gcctccgtat</w:t>
      </w:r>
    </w:p>
    <w:p w14:paraId="4CA92D8C">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301</w:t>
      </w:r>
      <w:r>
        <w:rPr>
          <w:rFonts w:hint="eastAsia" w:ascii="Courier New" w:hAnsi="Courier New"/>
          <w:sz w:val="21"/>
          <w:szCs w:val="21"/>
          <w:u w:val="none"/>
          <w:lang w:eastAsia="zh-CN"/>
        </w:rPr>
        <w:t xml:space="preserve">  </w:t>
      </w:r>
      <w:r>
        <w:rPr>
          <w:rFonts w:hint="eastAsia" w:ascii="Courier New" w:hAnsi="Courier New"/>
          <w:sz w:val="21"/>
          <w:szCs w:val="21"/>
          <w:u w:val="none"/>
        </w:rPr>
        <w:t>ttgctgacgt ggggtggcgc gctggcttcc gccttgaccc gaataagctt</w:t>
      </w:r>
    </w:p>
    <w:p w14:paraId="0C68296C">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351</w:t>
      </w:r>
      <w:r>
        <w:rPr>
          <w:rFonts w:hint="eastAsia" w:ascii="Courier New" w:hAnsi="Courier New"/>
          <w:sz w:val="21"/>
          <w:szCs w:val="21"/>
          <w:u w:val="none"/>
          <w:lang w:eastAsia="zh-CN"/>
        </w:rPr>
        <w:t xml:space="preserve">  </w:t>
      </w:r>
      <w:r>
        <w:rPr>
          <w:rFonts w:hint="eastAsia" w:ascii="Courier New" w:hAnsi="Courier New"/>
          <w:sz w:val="21"/>
          <w:szCs w:val="21"/>
          <w:u w:val="none"/>
        </w:rPr>
        <w:t>agcagcttga gcttggatca gattgtcgtt tcccgccttc agtttaaact</w:t>
      </w:r>
    </w:p>
    <w:p w14:paraId="56084683">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401</w:t>
      </w:r>
      <w:r>
        <w:rPr>
          <w:rFonts w:hint="eastAsia" w:ascii="Courier New" w:hAnsi="Courier New"/>
          <w:sz w:val="21"/>
          <w:szCs w:val="21"/>
          <w:u w:val="none"/>
          <w:lang w:eastAsia="zh-CN"/>
        </w:rPr>
        <w:t xml:space="preserve">  </w:t>
      </w:r>
      <w:r>
        <w:rPr>
          <w:rFonts w:hint="eastAsia" w:ascii="Courier New" w:hAnsi="Courier New"/>
          <w:sz w:val="21"/>
          <w:szCs w:val="21"/>
          <w:u w:val="none"/>
        </w:rPr>
        <w:t>ACGCGCGAAT TACAGTATGG TTTAAAACAT TCATAAGTTT TGCGTTTTAA</w:t>
      </w:r>
    </w:p>
    <w:p w14:paraId="283E7E5F">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451</w:t>
      </w:r>
      <w:r>
        <w:rPr>
          <w:rFonts w:hint="eastAsia" w:ascii="Courier New" w:hAnsi="Courier New"/>
          <w:sz w:val="21"/>
          <w:szCs w:val="21"/>
          <w:u w:val="none"/>
          <w:lang w:eastAsia="zh-CN"/>
        </w:rPr>
        <w:t xml:space="preserve">  </w:t>
      </w:r>
      <w:r>
        <w:rPr>
          <w:rFonts w:hint="eastAsia" w:ascii="Courier New" w:hAnsi="Courier New"/>
          <w:sz w:val="21"/>
          <w:szCs w:val="21"/>
          <w:u w:val="none"/>
        </w:rPr>
        <w:t>ATCCGATTTG ATCCATTCAA GTTGCGTTAG ATTCGTATTA AAATAATCTT</w:t>
      </w:r>
    </w:p>
    <w:p w14:paraId="782143B1">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501</w:t>
      </w:r>
      <w:r>
        <w:rPr>
          <w:rFonts w:hint="eastAsia" w:ascii="Courier New" w:hAnsi="Courier New"/>
          <w:sz w:val="21"/>
          <w:szCs w:val="21"/>
          <w:u w:val="none"/>
          <w:lang w:eastAsia="zh-CN"/>
        </w:rPr>
        <w:t xml:space="preserve">  </w:t>
      </w:r>
      <w:r>
        <w:rPr>
          <w:rFonts w:hint="eastAsia" w:ascii="Courier New" w:hAnsi="Courier New"/>
          <w:sz w:val="21"/>
          <w:szCs w:val="21"/>
          <w:u w:val="none"/>
        </w:rPr>
        <w:t>AATTTAGAAA TATTTATCCC AATTTTTGCA CATTTTATTT AATTTAGTTA</w:t>
      </w:r>
    </w:p>
    <w:p w14:paraId="183BD0BE">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551</w:t>
      </w:r>
      <w:r>
        <w:rPr>
          <w:rFonts w:hint="eastAsia" w:ascii="Courier New" w:hAnsi="Courier New"/>
          <w:sz w:val="21"/>
          <w:szCs w:val="21"/>
          <w:u w:val="none"/>
          <w:lang w:eastAsia="zh-CN"/>
        </w:rPr>
        <w:t xml:space="preserve">  </w:t>
      </w:r>
      <w:r>
        <w:rPr>
          <w:rFonts w:hint="eastAsia" w:ascii="Courier New" w:hAnsi="Courier New"/>
          <w:sz w:val="21"/>
          <w:szCs w:val="21"/>
          <w:u w:val="none"/>
        </w:rPr>
        <w:t>AACGTTTGTT TAACCAGTGG CTACTAAAAC GACATTTCAA TTTAAAAATC</w:t>
      </w:r>
    </w:p>
    <w:p w14:paraId="597C1D93">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601</w:t>
      </w:r>
      <w:r>
        <w:rPr>
          <w:rFonts w:hint="eastAsia" w:ascii="Courier New" w:hAnsi="Courier New"/>
          <w:sz w:val="21"/>
          <w:szCs w:val="21"/>
          <w:u w:val="none"/>
          <w:lang w:eastAsia="zh-CN"/>
        </w:rPr>
        <w:t xml:space="preserve">  </w:t>
      </w:r>
      <w:r>
        <w:rPr>
          <w:rFonts w:hint="eastAsia" w:ascii="Courier New" w:hAnsi="Courier New"/>
          <w:sz w:val="21"/>
          <w:szCs w:val="21"/>
          <w:u w:val="none"/>
        </w:rPr>
        <w:t>TAATTTAGGA ATTCGATTCG CGCATTTATA ATTAGTCACC AATATGATTA</w:t>
      </w:r>
    </w:p>
    <w:p w14:paraId="0EDE6CF1">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651</w:t>
      </w:r>
      <w:r>
        <w:rPr>
          <w:rFonts w:hint="eastAsia" w:ascii="Courier New" w:hAnsi="Courier New"/>
          <w:sz w:val="21"/>
          <w:szCs w:val="21"/>
          <w:u w:val="none"/>
          <w:lang w:eastAsia="zh-CN"/>
        </w:rPr>
        <w:t xml:space="preserve">  </w:t>
      </w:r>
      <w:r>
        <w:rPr>
          <w:rFonts w:hint="eastAsia" w:ascii="Courier New" w:hAnsi="Courier New"/>
          <w:sz w:val="21"/>
          <w:szCs w:val="21"/>
          <w:u w:val="none"/>
        </w:rPr>
        <w:t>ACCTTAACTG AAATGTTACA TATTAATAAT TGTTTAGTGT AATCACGTTG</w:t>
      </w:r>
    </w:p>
    <w:p w14:paraId="4B5CF9E7">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701</w:t>
      </w:r>
      <w:r>
        <w:rPr>
          <w:rFonts w:hint="eastAsia" w:ascii="Courier New" w:hAnsi="Courier New"/>
          <w:sz w:val="21"/>
          <w:szCs w:val="21"/>
          <w:u w:val="none"/>
          <w:lang w:eastAsia="zh-CN"/>
        </w:rPr>
        <w:t xml:space="preserve">  </w:t>
      </w:r>
      <w:r>
        <w:rPr>
          <w:rFonts w:hint="eastAsia" w:ascii="Courier New" w:hAnsi="Courier New"/>
          <w:sz w:val="21"/>
          <w:szCs w:val="21"/>
          <w:u w:val="none"/>
        </w:rPr>
        <w:t>TCATTTATTT ATTAGTTTCG CATGTCGGTC CGCGCGTACC GTGCGCGTGC</w:t>
      </w:r>
    </w:p>
    <w:p w14:paraId="4A33A030">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751</w:t>
      </w:r>
      <w:r>
        <w:rPr>
          <w:rFonts w:hint="eastAsia" w:ascii="Courier New" w:hAnsi="Courier New"/>
          <w:sz w:val="21"/>
          <w:szCs w:val="21"/>
          <w:u w:val="none"/>
          <w:lang w:eastAsia="zh-CN"/>
        </w:rPr>
        <w:t xml:space="preserve">  </w:t>
      </w:r>
      <w:r>
        <w:rPr>
          <w:rFonts w:hint="eastAsia" w:ascii="Courier New" w:hAnsi="Courier New"/>
          <w:sz w:val="21"/>
          <w:szCs w:val="21"/>
          <w:u w:val="none"/>
        </w:rPr>
        <w:t>CGCGGTGCTG TTTCACGCAT GTCGTTTGCA AGTGTCCGCG CGTTGTCGCG</w:t>
      </w:r>
    </w:p>
    <w:p w14:paraId="1F561F29">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801</w:t>
      </w:r>
      <w:r>
        <w:rPr>
          <w:rFonts w:hint="eastAsia" w:ascii="Courier New" w:hAnsi="Courier New"/>
          <w:sz w:val="21"/>
          <w:szCs w:val="21"/>
          <w:u w:val="none"/>
          <w:lang w:eastAsia="zh-CN"/>
        </w:rPr>
        <w:t xml:space="preserve">  </w:t>
      </w:r>
      <w:r>
        <w:rPr>
          <w:rFonts w:hint="eastAsia" w:ascii="Courier New" w:hAnsi="Courier New"/>
          <w:sz w:val="21"/>
          <w:szCs w:val="21"/>
          <w:u w:val="none"/>
        </w:rPr>
        <w:t>TGTCGTTCGC GTGTGTCGCG CGCATTGCCG CGTGCCGTTC GCGCGTATCG</w:t>
      </w:r>
    </w:p>
    <w:p w14:paraId="02983D52">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851</w:t>
      </w:r>
      <w:r>
        <w:rPr>
          <w:rFonts w:hint="eastAsia" w:ascii="Courier New" w:hAnsi="Courier New"/>
          <w:sz w:val="21"/>
          <w:szCs w:val="21"/>
          <w:u w:val="none"/>
          <w:lang w:eastAsia="zh-CN"/>
        </w:rPr>
        <w:t xml:space="preserve">  </w:t>
      </w:r>
      <w:r>
        <w:rPr>
          <w:rFonts w:hint="eastAsia" w:ascii="Courier New" w:hAnsi="Courier New"/>
          <w:sz w:val="21"/>
          <w:szCs w:val="21"/>
          <w:u w:val="none"/>
        </w:rPr>
        <w:t>CGCGTTGTCC GCGTGCTAAG TCGTTTGTGT CCGCGCGTTG CGCACATCGT</w:t>
      </w:r>
    </w:p>
    <w:p w14:paraId="604D215D">
      <w:pPr>
        <w:spacing w:line="240" w:lineRule="auto"/>
        <w:ind w:left="-105" w:leftChars="-50" w:right="-105" w:rightChars="-50" w:firstLine="420"/>
        <w:rPr>
          <w:rFonts w:hint="eastAsia" w:ascii="Courier New" w:hAnsi="Courier New"/>
          <w:sz w:val="21"/>
          <w:szCs w:val="21"/>
          <w:u w:val="none"/>
        </w:rPr>
      </w:pPr>
      <w:r>
        <w:rPr>
          <w:rFonts w:hint="eastAsia" w:ascii="Courier New" w:hAnsi="Courier New"/>
          <w:sz w:val="21"/>
          <w:szCs w:val="21"/>
          <w:u w:val="none"/>
        </w:rPr>
        <w:t>901</w:t>
      </w:r>
      <w:r>
        <w:rPr>
          <w:rFonts w:hint="eastAsia" w:ascii="Courier New" w:hAnsi="Courier New"/>
          <w:sz w:val="21"/>
          <w:szCs w:val="21"/>
          <w:u w:val="none"/>
          <w:lang w:eastAsia="zh-CN"/>
        </w:rPr>
        <w:t xml:space="preserve">  </w:t>
      </w:r>
      <w:r>
        <w:rPr>
          <w:rFonts w:hint="eastAsia" w:ascii="Courier New" w:hAnsi="Courier New"/>
          <w:sz w:val="21"/>
          <w:szCs w:val="21"/>
          <w:u w:val="none"/>
        </w:rPr>
        <w:t>GTTTGCATGT CGTGCGTCGT TAATTCGTCT CGCTTAGAAT CACTCATATT</w:t>
      </w:r>
    </w:p>
    <w:p w14:paraId="4D275825">
      <w:pPr>
        <w:spacing w:line="240" w:lineRule="auto"/>
        <w:ind w:left="-105" w:leftChars="-50" w:right="-105" w:rightChars="-50" w:firstLine="420"/>
        <w:rPr>
          <w:rFonts w:ascii="Courier New" w:hAnsi="Courier New" w:cs="Courier New" w:eastAsiaTheme="minorEastAsia"/>
          <w:kern w:val="0"/>
          <w:sz w:val="21"/>
          <w:szCs w:val="21"/>
          <w:u w:val="none"/>
        </w:rPr>
      </w:pPr>
      <w:r>
        <w:rPr>
          <w:rFonts w:hint="eastAsia" w:ascii="Courier New" w:hAnsi="Courier New"/>
          <w:sz w:val="21"/>
          <w:szCs w:val="21"/>
          <w:u w:val="none"/>
        </w:rPr>
        <w:t>951</w:t>
      </w:r>
      <w:r>
        <w:rPr>
          <w:rFonts w:hint="eastAsia" w:ascii="Courier New" w:hAnsi="Courier New"/>
          <w:sz w:val="21"/>
          <w:szCs w:val="21"/>
          <w:u w:val="none"/>
          <w:lang w:eastAsia="zh-CN"/>
        </w:rPr>
        <w:t xml:space="preserve">  </w:t>
      </w:r>
      <w:r>
        <w:rPr>
          <w:rFonts w:hint="eastAsia" w:ascii="Courier New" w:hAnsi="Courier New"/>
          <w:sz w:val="21"/>
          <w:szCs w:val="21"/>
          <w:u w:val="none"/>
        </w:rPr>
        <w:t>CATTAAGTTA CTTGCTTAAT TGTCAACTAT TAAAATAGTA AGTTAGTCAA</w:t>
      </w:r>
    </w:p>
    <w:p w14:paraId="27C53606">
      <w:pPr>
        <w:ind w:firstLine="422"/>
      </w:pPr>
      <w:r>
        <w:rPr>
          <w:rFonts w:ascii="Times New Roman" w:hAnsi="Times New Roman" w:eastAsia="黑体" w:cs="Times New Roman"/>
          <w:b/>
          <w:szCs w:val="21"/>
        </w:rPr>
        <w:t>注：</w:t>
      </w:r>
      <w:r>
        <w:rPr>
          <w:rFonts w:hint="eastAsia" w:eastAsia="黑体" w:cs="Times New Roman"/>
          <w:bCs/>
          <w:szCs w:val="21"/>
          <w:lang w:val="en-US" w:eastAsia="zh-CN"/>
        </w:rPr>
        <w:t>L</w:t>
      </w:r>
      <w:r>
        <w:rPr>
          <w:rFonts w:hint="eastAsia" w:ascii="Times New Roman" w:hAnsi="Times New Roman" w:cs="Times New Roman"/>
          <w:bCs/>
          <w:szCs w:val="21"/>
        </w:rPr>
        <w:t>B</w:t>
      </w:r>
      <w:r>
        <w:rPr>
          <w:rFonts w:ascii="Times New Roman" w:hAnsi="Times New Roman" w:cs="Times New Roman"/>
          <w:bCs/>
          <w:szCs w:val="21"/>
        </w:rPr>
        <w:t>端旁侧序列1000 bp中</w:t>
      </w:r>
      <w:r>
        <w:rPr>
          <w:rFonts w:hint="eastAsia" w:cs="Times New Roman"/>
          <w:bCs/>
          <w:szCs w:val="21"/>
          <w:lang w:eastAsia="zh-CN"/>
        </w:rPr>
        <w:t>大写字母</w:t>
      </w:r>
      <w:r>
        <w:rPr>
          <w:rFonts w:ascii="Times New Roman" w:hAnsi="Times New Roman" w:cs="Times New Roman"/>
          <w:bCs/>
          <w:szCs w:val="21"/>
        </w:rPr>
        <w:t>1-600 bp为玉米基因组序列，</w:t>
      </w:r>
      <w:r>
        <w:rPr>
          <w:rFonts w:hint="eastAsia" w:cs="Times New Roman"/>
          <w:bCs/>
          <w:szCs w:val="21"/>
          <w:lang w:eastAsia="zh-CN"/>
        </w:rPr>
        <w:t>小写字母</w:t>
      </w:r>
      <w:r>
        <w:rPr>
          <w:rFonts w:ascii="Times New Roman" w:hAnsi="Times New Roman" w:cs="Times New Roman"/>
          <w:bCs/>
          <w:szCs w:val="21"/>
        </w:rPr>
        <w:t>601-1000 bp为T-DNA插入序列；</w:t>
      </w:r>
      <w:r>
        <w:rPr>
          <w:rFonts w:hint="eastAsia" w:cs="Times New Roman"/>
          <w:bCs/>
          <w:szCs w:val="21"/>
          <w:lang w:val="en-US" w:eastAsia="zh-CN"/>
        </w:rPr>
        <w:t>R</w:t>
      </w:r>
      <w:r>
        <w:rPr>
          <w:rFonts w:ascii="Times New Roman" w:hAnsi="Times New Roman" w:cs="Times New Roman"/>
          <w:bCs/>
          <w:szCs w:val="21"/>
        </w:rPr>
        <w:t>B端旁侧序列1000 bp中</w:t>
      </w:r>
      <w:r>
        <w:rPr>
          <w:rFonts w:hint="eastAsia" w:cs="Times New Roman"/>
          <w:bCs/>
          <w:szCs w:val="21"/>
          <w:lang w:eastAsia="zh-CN"/>
        </w:rPr>
        <w:t>小写字母</w:t>
      </w:r>
      <w:r>
        <w:rPr>
          <w:rFonts w:ascii="Times New Roman" w:hAnsi="Times New Roman" w:cs="Times New Roman"/>
          <w:bCs/>
          <w:szCs w:val="21"/>
        </w:rPr>
        <w:t>1-400 bp为T-DNA插入序列，</w:t>
      </w:r>
      <w:r>
        <w:rPr>
          <w:rFonts w:hint="eastAsia" w:cs="Times New Roman"/>
          <w:bCs/>
          <w:szCs w:val="21"/>
          <w:lang w:eastAsia="zh-CN"/>
        </w:rPr>
        <w:t>大写字母</w:t>
      </w:r>
      <w:r>
        <w:rPr>
          <w:rFonts w:ascii="Times New Roman" w:hAnsi="Times New Roman" w:cs="Times New Roman"/>
          <w:bCs/>
          <w:szCs w:val="21"/>
        </w:rPr>
        <w:t>401-1000 bp为玉米基因组序列。</w:t>
      </w:r>
    </w:p>
    <w:p w14:paraId="69D271DA">
      <w:pPr>
        <w:spacing w:line="240" w:lineRule="auto"/>
        <w:ind w:firstLine="422"/>
        <w:rPr>
          <w:rFonts w:hint="default" w:ascii="Times New Roman" w:hAnsi="Times New Roman" w:eastAsia="宋体" w:cs="Times New Roman"/>
          <w:sz w:val="18"/>
          <w:szCs w:val="18"/>
        </w:rPr>
      </w:pPr>
    </w:p>
    <w:p w14:paraId="6203C01E">
      <w:pPr>
        <w:pStyle w:val="4"/>
        <w:numPr>
          <w:ilvl w:val="0"/>
          <w:numId w:val="3"/>
        </w:numPr>
        <w:bidi w:val="0"/>
        <w:spacing w:before="50" w:beforeLines="50" w:after="50" w:afterLines="50" w:line="240" w:lineRule="auto"/>
        <w:ind w:left="0" w:leftChars="0" w:firstLine="420" w:firstLineChars="200"/>
        <w:rPr>
          <w:rFonts w:hint="eastAsia" w:ascii="Times New Roman" w:hAnsi="Times New Roman" w:eastAsia="黑体" w:cs="Calibri"/>
          <w:b w:val="0"/>
          <w:sz w:val="21"/>
          <w:highlight w:val="none"/>
        </w:rPr>
      </w:pPr>
      <w:r>
        <w:rPr>
          <w:rFonts w:hint="eastAsia" w:ascii="Times New Roman" w:hAnsi="Times New Roman" w:eastAsia="黑体" w:cs="Calibri"/>
          <w:b w:val="0"/>
          <w:sz w:val="21"/>
          <w:highlight w:val="none"/>
        </w:rPr>
        <w:t>抗虫耐除草剂玉米</w:t>
      </w:r>
      <w:r>
        <w:rPr>
          <w:rFonts w:hint="eastAsia" w:eastAsia="黑体" w:cs="Calibri"/>
          <w:b w:val="0"/>
          <w:sz w:val="21"/>
          <w:highlight w:val="none"/>
          <w:lang w:eastAsia="zh-CN"/>
        </w:rPr>
        <w:t>QY2569-42</w:t>
      </w:r>
      <w:r>
        <w:rPr>
          <w:rFonts w:hint="eastAsia" w:ascii="Times New Roman" w:hAnsi="Times New Roman" w:eastAsia="黑体" w:cs="Calibri"/>
          <w:b w:val="0"/>
          <w:sz w:val="21"/>
          <w:highlight w:val="none"/>
        </w:rPr>
        <w:t>的检测方法</w:t>
      </w:r>
    </w:p>
    <w:p w14:paraId="7AF777DE">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ascii="Times New Roman" w:hAnsi="Times New Roman" w:eastAsia="仿宋" w:cs="Times New Roman"/>
          <w:bCs/>
          <w:sz w:val="32"/>
          <w:szCs w:val="32"/>
          <w:highlight w:val="none"/>
        </w:rPr>
      </w:pPr>
      <w:r>
        <w:rPr>
          <w:rFonts w:hint="default" w:ascii="Times New Roman" w:hAnsi="Times New Roman" w:eastAsia="宋体" w:cs="Times New Roman"/>
          <w:bCs/>
          <w:sz w:val="21"/>
          <w:szCs w:val="21"/>
          <w:highlight w:val="none"/>
        </w:rPr>
        <w:t>经文献检索和查阅研发者技术资料，仅</w:t>
      </w:r>
      <w:r>
        <w:rPr>
          <w:rFonts w:hint="default" w:ascii="Times New Roman" w:hAnsi="Times New Roman" w:eastAsia="宋体" w:cs="Times New Roman"/>
          <w:color w:val="auto"/>
          <w:sz w:val="21"/>
          <w:szCs w:val="21"/>
          <w:highlight w:val="none"/>
          <w:lang w:bidi="ar"/>
        </w:rPr>
        <w:t>青岛清原化合物有限公司</w:t>
      </w:r>
      <w:r>
        <w:rPr>
          <w:rFonts w:hint="default" w:ascii="Times New Roman" w:hAnsi="Times New Roman" w:eastAsia="宋体" w:cs="Times New Roman"/>
          <w:bCs/>
          <w:sz w:val="21"/>
          <w:szCs w:val="21"/>
          <w:highlight w:val="none"/>
        </w:rPr>
        <w:t>作为研发者开发了抗虫耐除草剂玉米</w:t>
      </w:r>
      <w:r>
        <w:rPr>
          <w:rFonts w:hint="eastAsia" w:cs="Times New Roman"/>
          <w:bCs/>
          <w:sz w:val="21"/>
          <w:szCs w:val="21"/>
          <w:highlight w:val="none"/>
          <w:lang w:eastAsia="zh-CN"/>
        </w:rPr>
        <w:t>QY2569-42</w:t>
      </w:r>
      <w:r>
        <w:rPr>
          <w:rFonts w:hint="default" w:ascii="Times New Roman" w:hAnsi="Times New Roman" w:eastAsia="宋体" w:cs="Times New Roman"/>
          <w:bCs/>
          <w:sz w:val="21"/>
          <w:szCs w:val="21"/>
          <w:highlight w:val="none"/>
        </w:rPr>
        <w:t>转化体特异性PCR检测方法，</w:t>
      </w:r>
      <w:r>
        <w:rPr>
          <w:rFonts w:hint="default" w:ascii="Times New Roman" w:hAnsi="Times New Roman" w:eastAsia="宋体" w:cs="Times New Roman"/>
          <w:bCs/>
          <w:sz w:val="21"/>
          <w:szCs w:val="21"/>
          <w:highlight w:val="none"/>
          <w:lang w:eastAsia="zh-CN"/>
        </w:rPr>
        <w:t>位于</w:t>
      </w:r>
      <w:r>
        <w:rPr>
          <w:rFonts w:hint="default" w:ascii="Times New Roman" w:hAnsi="Times New Roman" w:eastAsia="宋体" w:cs="Times New Roman"/>
          <w:bCs/>
          <w:sz w:val="21"/>
          <w:szCs w:val="21"/>
          <w:highlight w:val="none"/>
        </w:rPr>
        <w:t>外源插入片段3</w:t>
      </w:r>
      <w:r>
        <w:rPr>
          <w:rFonts w:hint="default" w:ascii="Times New Roman" w:hAnsi="Times New Roman" w:eastAsia="宋体" w:cs="Times New Roman"/>
          <w:bCs/>
          <w:sz w:val="21"/>
          <w:szCs w:val="21"/>
          <w:highlight w:val="none"/>
          <w:lang w:val="it-IT"/>
        </w:rPr>
        <w:t>′端</w:t>
      </w:r>
      <w:r>
        <w:rPr>
          <w:rFonts w:hint="default" w:ascii="Times New Roman" w:hAnsi="Times New Roman" w:eastAsia="宋体" w:cs="Times New Roman"/>
          <w:bCs/>
          <w:sz w:val="21"/>
          <w:szCs w:val="21"/>
          <w:highlight w:val="none"/>
        </w:rPr>
        <w:t>与玉米基因组连接区</w:t>
      </w:r>
      <w:r>
        <w:rPr>
          <w:rFonts w:hint="default" w:ascii="Times New Roman" w:hAnsi="Times New Roman" w:eastAsia="宋体" w:cs="Times New Roman"/>
          <w:bCs/>
          <w:sz w:val="21"/>
          <w:szCs w:val="21"/>
          <w:highlight w:val="none"/>
          <w:lang w:eastAsia="zh-CN"/>
        </w:rPr>
        <w:t>，扩增片段</w:t>
      </w:r>
      <w:r>
        <w:rPr>
          <w:rFonts w:hint="default" w:ascii="Times New Roman" w:hAnsi="Times New Roman" w:eastAsia="宋体" w:cs="Times New Roman"/>
          <w:bCs/>
          <w:sz w:val="21"/>
          <w:szCs w:val="21"/>
          <w:highlight w:val="none"/>
        </w:rPr>
        <w:t>长度分别为2</w:t>
      </w:r>
      <w:r>
        <w:rPr>
          <w:rFonts w:hint="eastAsia" w:cs="Times New Roman"/>
          <w:bCs/>
          <w:sz w:val="21"/>
          <w:szCs w:val="21"/>
          <w:highlight w:val="none"/>
          <w:lang w:val="en-US" w:eastAsia="zh-CN"/>
        </w:rPr>
        <w:t>09</w:t>
      </w:r>
      <w:r>
        <w:rPr>
          <w:rFonts w:hint="default" w:ascii="Times New Roman" w:hAnsi="Times New Roman" w:eastAsia="宋体" w:cs="Times New Roman"/>
          <w:bCs/>
          <w:sz w:val="21"/>
          <w:szCs w:val="21"/>
          <w:highlight w:val="none"/>
        </w:rPr>
        <w:t xml:space="preserve"> bp和</w:t>
      </w:r>
      <w:r>
        <w:rPr>
          <w:rFonts w:hint="eastAsia" w:cs="Times New Roman"/>
          <w:bCs/>
          <w:sz w:val="21"/>
          <w:szCs w:val="21"/>
          <w:highlight w:val="none"/>
          <w:lang w:val="en-US" w:eastAsia="zh-CN"/>
        </w:rPr>
        <w:t>82</w:t>
      </w:r>
      <w:r>
        <w:rPr>
          <w:rFonts w:hint="default" w:ascii="Times New Roman" w:hAnsi="Times New Roman" w:eastAsia="宋体" w:cs="Times New Roman"/>
          <w:bCs/>
          <w:sz w:val="21"/>
          <w:szCs w:val="21"/>
          <w:highlight w:val="none"/>
        </w:rPr>
        <w:t xml:space="preserve"> bp，序列信息见表</w:t>
      </w:r>
      <w:r>
        <w:rPr>
          <w:rFonts w:hint="eastAsia" w:cs="Times New Roman"/>
          <w:bCs/>
          <w:sz w:val="21"/>
          <w:szCs w:val="21"/>
          <w:highlight w:val="none"/>
          <w:lang w:val="en-US" w:eastAsia="zh-CN"/>
        </w:rPr>
        <w:t>2</w:t>
      </w:r>
      <w:r>
        <w:rPr>
          <w:rFonts w:hint="default" w:ascii="Times New Roman" w:hAnsi="Times New Roman" w:eastAsia="宋体" w:cs="Times New Roman"/>
          <w:bCs/>
          <w:sz w:val="21"/>
          <w:szCs w:val="21"/>
          <w:highlight w:val="none"/>
          <w:lang w:val="en-US" w:eastAsia="zh-CN"/>
        </w:rPr>
        <w:t>-2</w:t>
      </w:r>
      <w:r>
        <w:rPr>
          <w:rFonts w:hint="default" w:ascii="Times New Roman" w:hAnsi="Times New Roman" w:eastAsia="宋体" w:cs="Times New Roman"/>
          <w:bCs/>
          <w:sz w:val="21"/>
          <w:szCs w:val="21"/>
          <w:highlight w:val="none"/>
        </w:rPr>
        <w:t>。</w:t>
      </w:r>
    </w:p>
    <w:p w14:paraId="5E77964F">
      <w:pPr>
        <w:pStyle w:val="8"/>
        <w:keepNext/>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ascii="Times New Roman" w:hAnsi="Times New Roman" w:eastAsia="黑体" w:cs="Calibri"/>
          <w:sz w:val="18"/>
          <w:szCs w:val="22"/>
        </w:rPr>
      </w:pPr>
      <w:r>
        <w:rPr>
          <w:rFonts w:hint="eastAsia" w:ascii="Times New Roman" w:hAnsi="Times New Roman" w:eastAsia="黑体" w:cs="Calibri"/>
          <w:sz w:val="18"/>
          <w:szCs w:val="22"/>
        </w:rPr>
        <w:t>表</w:t>
      </w:r>
      <w:r>
        <w:rPr>
          <w:rFonts w:hint="eastAsia" w:ascii="Times New Roman" w:hAnsi="Times New Roman" w:eastAsia="黑体" w:cs="Calibri"/>
          <w:sz w:val="18"/>
          <w:szCs w:val="22"/>
          <w:lang w:val="en-US" w:eastAsia="zh-CN"/>
        </w:rPr>
        <w:t>2</w:t>
      </w:r>
      <w:r>
        <w:rPr>
          <w:rFonts w:hint="eastAsia" w:ascii="Times New Roman" w:hAnsi="Times New Roman" w:eastAsia="黑体" w:cs="Calibri"/>
          <w:sz w:val="18"/>
          <w:szCs w:val="22"/>
        </w:rPr>
        <w:t>-2 研发者提供的抗虫耐除草剂玉米</w:t>
      </w:r>
      <w:r>
        <w:rPr>
          <w:rFonts w:hint="eastAsia" w:ascii="Times New Roman" w:hAnsi="Times New Roman" w:eastAsia="黑体" w:cs="Calibri"/>
          <w:sz w:val="18"/>
          <w:szCs w:val="22"/>
          <w:lang w:eastAsia="zh-CN"/>
        </w:rPr>
        <w:t>QY2569-42</w:t>
      </w:r>
      <w:r>
        <w:rPr>
          <w:rFonts w:hint="eastAsia" w:ascii="Times New Roman" w:hAnsi="Times New Roman" w:eastAsia="黑体" w:cs="Calibri"/>
          <w:sz w:val="18"/>
          <w:szCs w:val="22"/>
        </w:rPr>
        <w:t>的检测方法</w:t>
      </w:r>
    </w:p>
    <w:tbl>
      <w:tblPr>
        <w:tblStyle w:val="17"/>
        <w:tblW w:w="7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050"/>
        <w:gridCol w:w="4558"/>
        <w:gridCol w:w="1017"/>
      </w:tblGrid>
      <w:tr w14:paraId="19D6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tcPr>
          <w:p w14:paraId="2CCE453E">
            <w:pPr>
              <w:tabs>
                <w:tab w:val="left" w:pos="3315"/>
              </w:tabs>
              <w:spacing w:line="480" w:lineRule="exact"/>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方法</w:t>
            </w:r>
          </w:p>
        </w:tc>
        <w:tc>
          <w:tcPr>
            <w:tcW w:w="1050" w:type="dxa"/>
          </w:tcPr>
          <w:p w14:paraId="00432EA0">
            <w:pPr>
              <w:tabs>
                <w:tab w:val="left" w:pos="3315"/>
              </w:tabs>
              <w:spacing w:line="480" w:lineRule="exact"/>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引物名称</w:t>
            </w:r>
          </w:p>
        </w:tc>
        <w:tc>
          <w:tcPr>
            <w:tcW w:w="4558" w:type="dxa"/>
          </w:tcPr>
          <w:p w14:paraId="2C604E19">
            <w:pPr>
              <w:tabs>
                <w:tab w:val="left" w:pos="3315"/>
              </w:tabs>
              <w:spacing w:line="480" w:lineRule="exact"/>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序列（5’-3’）</w:t>
            </w:r>
          </w:p>
        </w:tc>
        <w:tc>
          <w:tcPr>
            <w:tcW w:w="1017" w:type="dxa"/>
          </w:tcPr>
          <w:p w14:paraId="21677A96">
            <w:pPr>
              <w:tabs>
                <w:tab w:val="left" w:pos="3315"/>
              </w:tabs>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lang w:eastAsia="zh-CN"/>
              </w:rPr>
              <w:t>扩增</w:t>
            </w:r>
            <w:r>
              <w:rPr>
                <w:rFonts w:hint="default" w:ascii="Times New Roman" w:hAnsi="Times New Roman" w:eastAsia="宋体" w:cs="Times New Roman"/>
                <w:b/>
                <w:sz w:val="18"/>
                <w:szCs w:val="18"/>
              </w:rPr>
              <w:t>片段大小（bp）</w:t>
            </w:r>
          </w:p>
        </w:tc>
      </w:tr>
      <w:tr w14:paraId="1B42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4" w:type="dxa"/>
            <w:vMerge w:val="restart"/>
            <w:vAlign w:val="center"/>
          </w:tcPr>
          <w:p w14:paraId="5700675B">
            <w:pPr>
              <w:tabs>
                <w:tab w:val="left" w:pos="711"/>
              </w:tabs>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lang w:val="it-IT"/>
              </w:rPr>
              <w:t>普通</w:t>
            </w:r>
            <w:r>
              <w:rPr>
                <w:rFonts w:hint="default" w:ascii="Times New Roman" w:hAnsi="Times New Roman" w:eastAsia="宋体" w:cs="Times New Roman"/>
                <w:bCs/>
                <w:sz w:val="18"/>
                <w:szCs w:val="18"/>
              </w:rPr>
              <w:t>PCR</w:t>
            </w:r>
          </w:p>
        </w:tc>
        <w:tc>
          <w:tcPr>
            <w:tcW w:w="1050" w:type="dxa"/>
            <w:vAlign w:val="center"/>
          </w:tcPr>
          <w:p w14:paraId="4589FCCD">
            <w:pPr>
              <w:tabs>
                <w:tab w:val="left" w:pos="711"/>
              </w:tabs>
              <w:jc w:val="center"/>
              <w:rPr>
                <w:rFonts w:hint="default" w:ascii="Times New Roman" w:hAnsi="Times New Roman" w:eastAsia="宋体" w:cs="Times New Roman"/>
                <w:bCs/>
                <w:sz w:val="18"/>
                <w:szCs w:val="18"/>
              </w:rPr>
            </w:pPr>
            <w:r>
              <w:rPr>
                <w:rFonts w:hint="default" w:ascii="Times New Roman" w:hAnsi="Times New Roman" w:eastAsia="宋体" w:cs="Times New Roman"/>
                <w:iCs/>
                <w:snapToGrid w:val="0"/>
                <w:sz w:val="18"/>
                <w:szCs w:val="18"/>
                <w:lang w:eastAsia="zh-CN"/>
              </w:rPr>
              <w:t>F</w:t>
            </w:r>
          </w:p>
        </w:tc>
        <w:tc>
          <w:tcPr>
            <w:tcW w:w="4558" w:type="dxa"/>
            <w:vAlign w:val="center"/>
          </w:tcPr>
          <w:p w14:paraId="59B43025">
            <w:pPr>
              <w:tabs>
                <w:tab w:val="left" w:pos="711"/>
              </w:tabs>
              <w:jc w:val="left"/>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TTTAGTAGCCACTGGTTAAACAAACG</w:t>
            </w:r>
          </w:p>
        </w:tc>
        <w:tc>
          <w:tcPr>
            <w:tcW w:w="1017" w:type="dxa"/>
            <w:vMerge w:val="restart"/>
            <w:vAlign w:val="center"/>
          </w:tcPr>
          <w:p w14:paraId="71C7DBA9">
            <w:pPr>
              <w:tabs>
                <w:tab w:val="left" w:pos="711"/>
              </w:tabs>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2</w:t>
            </w:r>
            <w:r>
              <w:rPr>
                <w:rFonts w:hint="eastAsia" w:cs="Times New Roman"/>
                <w:bCs/>
                <w:sz w:val="18"/>
                <w:szCs w:val="18"/>
                <w:lang w:val="en-US" w:eastAsia="zh-CN"/>
              </w:rPr>
              <w:t>09</w:t>
            </w:r>
          </w:p>
        </w:tc>
      </w:tr>
      <w:tr w14:paraId="66EC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Merge w:val="continue"/>
            <w:vAlign w:val="center"/>
          </w:tcPr>
          <w:p w14:paraId="701E57C6">
            <w:pPr>
              <w:tabs>
                <w:tab w:val="left" w:pos="711"/>
              </w:tabs>
              <w:jc w:val="center"/>
              <w:rPr>
                <w:rFonts w:hint="default" w:ascii="Times New Roman" w:hAnsi="Times New Roman" w:eastAsia="宋体" w:cs="Times New Roman"/>
                <w:bCs/>
                <w:sz w:val="18"/>
                <w:szCs w:val="18"/>
              </w:rPr>
            </w:pPr>
          </w:p>
        </w:tc>
        <w:tc>
          <w:tcPr>
            <w:tcW w:w="1050" w:type="dxa"/>
            <w:vAlign w:val="center"/>
          </w:tcPr>
          <w:p w14:paraId="571A428F">
            <w:pPr>
              <w:tabs>
                <w:tab w:val="left" w:pos="711"/>
              </w:tabs>
              <w:jc w:val="center"/>
              <w:rPr>
                <w:rFonts w:hint="default" w:ascii="Times New Roman" w:hAnsi="Times New Roman" w:eastAsia="宋体" w:cs="Times New Roman"/>
                <w:bCs/>
                <w:sz w:val="18"/>
                <w:szCs w:val="18"/>
              </w:rPr>
            </w:pPr>
            <w:r>
              <w:rPr>
                <w:rFonts w:hint="default" w:ascii="Times New Roman" w:hAnsi="Times New Roman" w:eastAsia="宋体" w:cs="Times New Roman"/>
                <w:iCs/>
                <w:snapToGrid w:val="0"/>
                <w:sz w:val="18"/>
                <w:szCs w:val="18"/>
                <w:lang w:eastAsia="zh-CN"/>
              </w:rPr>
              <w:t>R</w:t>
            </w:r>
          </w:p>
        </w:tc>
        <w:tc>
          <w:tcPr>
            <w:tcW w:w="4558" w:type="dxa"/>
            <w:vAlign w:val="center"/>
          </w:tcPr>
          <w:p w14:paraId="25785D10">
            <w:pPr>
              <w:tabs>
                <w:tab w:val="left" w:pos="711"/>
              </w:tabs>
              <w:jc w:val="left"/>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AGATTGTCGTTTCCCGCCTT</w:t>
            </w:r>
          </w:p>
        </w:tc>
        <w:tc>
          <w:tcPr>
            <w:tcW w:w="1017" w:type="dxa"/>
            <w:vMerge w:val="continue"/>
          </w:tcPr>
          <w:p w14:paraId="5DA6E6AD">
            <w:pPr>
              <w:tabs>
                <w:tab w:val="left" w:pos="711"/>
              </w:tabs>
              <w:jc w:val="center"/>
              <w:rPr>
                <w:rFonts w:hint="default" w:ascii="Times New Roman" w:hAnsi="Times New Roman" w:eastAsia="宋体" w:cs="Times New Roman"/>
                <w:bCs/>
                <w:sz w:val="18"/>
                <w:szCs w:val="18"/>
              </w:rPr>
            </w:pPr>
          </w:p>
        </w:tc>
      </w:tr>
      <w:tr w14:paraId="029B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Merge w:val="restart"/>
            <w:vAlign w:val="center"/>
          </w:tcPr>
          <w:p w14:paraId="14EC84EE">
            <w:pPr>
              <w:tabs>
                <w:tab w:val="left" w:pos="711"/>
              </w:tabs>
              <w:jc w:val="center"/>
              <w:rPr>
                <w:rFonts w:hint="default" w:ascii="Times New Roman" w:hAnsi="Times New Roman" w:eastAsia="宋体" w:cs="Times New Roman"/>
                <w:bCs/>
                <w:sz w:val="18"/>
                <w:szCs w:val="18"/>
                <w:lang w:val="it-IT"/>
              </w:rPr>
            </w:pPr>
            <w:r>
              <w:rPr>
                <w:rFonts w:hint="default" w:ascii="Times New Roman" w:hAnsi="Times New Roman" w:eastAsia="宋体" w:cs="Times New Roman"/>
                <w:bCs/>
                <w:sz w:val="18"/>
                <w:szCs w:val="18"/>
                <w:lang w:val="it-IT"/>
              </w:rPr>
              <w:t>实时荧光</w:t>
            </w:r>
            <w:r>
              <w:rPr>
                <w:rFonts w:hint="default" w:ascii="Times New Roman" w:hAnsi="Times New Roman" w:eastAsia="宋体" w:cs="Times New Roman"/>
                <w:bCs/>
                <w:sz w:val="18"/>
                <w:szCs w:val="18"/>
              </w:rPr>
              <w:t>PCR</w:t>
            </w:r>
          </w:p>
        </w:tc>
        <w:tc>
          <w:tcPr>
            <w:tcW w:w="1050" w:type="dxa"/>
            <w:vAlign w:val="center"/>
          </w:tcPr>
          <w:p w14:paraId="50B456F5">
            <w:pPr>
              <w:tabs>
                <w:tab w:val="left" w:pos="711"/>
              </w:tabs>
              <w:jc w:val="center"/>
              <w:rPr>
                <w:rFonts w:hint="default" w:ascii="Times New Roman" w:hAnsi="Times New Roman" w:eastAsia="宋体" w:cs="Times New Roman"/>
                <w:bCs/>
                <w:sz w:val="18"/>
                <w:szCs w:val="18"/>
                <w:lang w:val="it-IT"/>
              </w:rPr>
            </w:pPr>
            <w:r>
              <w:rPr>
                <w:rFonts w:hint="default" w:ascii="Times New Roman" w:hAnsi="Times New Roman" w:eastAsia="宋体" w:cs="Times New Roman"/>
                <w:color w:val="auto"/>
                <w:sz w:val="18"/>
                <w:szCs w:val="18"/>
                <w:highlight w:val="none"/>
                <w:lang w:val="it-IT" w:eastAsia="zh-CN"/>
              </w:rPr>
              <w:t>QF</w:t>
            </w:r>
          </w:p>
        </w:tc>
        <w:tc>
          <w:tcPr>
            <w:tcW w:w="4558" w:type="dxa"/>
            <w:vAlign w:val="center"/>
          </w:tcPr>
          <w:p w14:paraId="3178CD32">
            <w:pPr>
              <w:tabs>
                <w:tab w:val="left" w:pos="711"/>
              </w:tabs>
              <w:jc w:val="left"/>
              <w:rPr>
                <w:rFonts w:hint="default" w:ascii="Times New Roman" w:hAnsi="Times New Roman" w:eastAsia="宋体" w:cs="Times New Roman"/>
                <w:bCs/>
                <w:sz w:val="18"/>
                <w:szCs w:val="18"/>
                <w:lang w:val="it-IT"/>
              </w:rPr>
            </w:pPr>
            <w:r>
              <w:rPr>
                <w:rFonts w:hint="eastAsia" w:ascii="Times New Roman" w:hAnsi="Times New Roman" w:eastAsia="宋体" w:cs="Times New Roman"/>
                <w:i w:val="0"/>
                <w:iCs w:val="0"/>
                <w:color w:val="auto"/>
                <w:kern w:val="0"/>
                <w:sz w:val="18"/>
                <w:szCs w:val="18"/>
                <w:highlight w:val="none"/>
                <w:u w:val="none"/>
                <w:lang w:val="en-US" w:eastAsia="zh-CN" w:bidi="ar"/>
              </w:rPr>
              <w:t>ATGTTTTAAACCATACTGTAATTCG</w:t>
            </w:r>
          </w:p>
        </w:tc>
        <w:tc>
          <w:tcPr>
            <w:tcW w:w="1017" w:type="dxa"/>
            <w:vMerge w:val="restart"/>
            <w:vAlign w:val="center"/>
          </w:tcPr>
          <w:p w14:paraId="6F7F52DF">
            <w:pPr>
              <w:tabs>
                <w:tab w:val="left" w:pos="711"/>
              </w:tabs>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82</w:t>
            </w:r>
          </w:p>
        </w:tc>
      </w:tr>
      <w:tr w14:paraId="28DC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Merge w:val="continue"/>
            <w:vAlign w:val="center"/>
          </w:tcPr>
          <w:p w14:paraId="145BAA01">
            <w:pPr>
              <w:tabs>
                <w:tab w:val="left" w:pos="711"/>
              </w:tabs>
              <w:jc w:val="center"/>
              <w:rPr>
                <w:rFonts w:hint="default" w:ascii="Times New Roman" w:hAnsi="Times New Roman" w:eastAsia="宋体" w:cs="Times New Roman"/>
                <w:bCs/>
                <w:sz w:val="18"/>
                <w:szCs w:val="18"/>
                <w:lang w:val="it-IT"/>
              </w:rPr>
            </w:pPr>
          </w:p>
        </w:tc>
        <w:tc>
          <w:tcPr>
            <w:tcW w:w="1050" w:type="dxa"/>
            <w:vAlign w:val="center"/>
          </w:tcPr>
          <w:p w14:paraId="1B95AB34">
            <w:pPr>
              <w:tabs>
                <w:tab w:val="left" w:pos="711"/>
              </w:tabs>
              <w:jc w:val="center"/>
              <w:rPr>
                <w:rFonts w:hint="default" w:ascii="Times New Roman" w:hAnsi="Times New Roman" w:eastAsia="宋体" w:cs="Times New Roman"/>
                <w:bCs/>
                <w:sz w:val="18"/>
                <w:szCs w:val="18"/>
                <w:lang w:val="it-IT"/>
              </w:rPr>
            </w:pPr>
            <w:r>
              <w:rPr>
                <w:rFonts w:hint="default" w:ascii="Times New Roman" w:hAnsi="Times New Roman" w:eastAsia="宋体" w:cs="Times New Roman"/>
                <w:color w:val="auto"/>
                <w:sz w:val="18"/>
                <w:szCs w:val="18"/>
                <w:highlight w:val="none"/>
                <w:lang w:val="it-IT" w:eastAsia="zh-CN"/>
              </w:rPr>
              <w:t>QR</w:t>
            </w:r>
          </w:p>
        </w:tc>
        <w:tc>
          <w:tcPr>
            <w:tcW w:w="4558" w:type="dxa"/>
            <w:vAlign w:val="center"/>
          </w:tcPr>
          <w:p w14:paraId="57D5B544">
            <w:pPr>
              <w:tabs>
                <w:tab w:val="left" w:pos="711"/>
              </w:tabs>
              <w:jc w:val="left"/>
              <w:rPr>
                <w:rFonts w:hint="default" w:ascii="Times New Roman" w:hAnsi="Times New Roman" w:eastAsia="宋体" w:cs="Times New Roman"/>
                <w:bCs/>
                <w:sz w:val="18"/>
                <w:szCs w:val="18"/>
                <w:lang w:val="it-IT"/>
              </w:rPr>
            </w:pPr>
            <w:r>
              <w:rPr>
                <w:rFonts w:hint="eastAsia" w:ascii="Times New Roman" w:hAnsi="Times New Roman" w:eastAsia="宋体" w:cs="Times New Roman"/>
                <w:i w:val="0"/>
                <w:iCs w:val="0"/>
                <w:color w:val="auto"/>
                <w:kern w:val="0"/>
                <w:sz w:val="18"/>
                <w:szCs w:val="18"/>
                <w:highlight w:val="none"/>
                <w:u w:val="none"/>
                <w:lang w:val="en-US" w:eastAsia="zh-CN" w:bidi="ar"/>
              </w:rPr>
              <w:t>TTAGCAGCTTGAGCTTGGATCAG</w:t>
            </w:r>
          </w:p>
        </w:tc>
        <w:tc>
          <w:tcPr>
            <w:tcW w:w="1017" w:type="dxa"/>
            <w:vMerge w:val="continue"/>
          </w:tcPr>
          <w:p w14:paraId="2A9B74CD">
            <w:pPr>
              <w:tabs>
                <w:tab w:val="left" w:pos="711"/>
              </w:tabs>
              <w:jc w:val="center"/>
              <w:rPr>
                <w:bCs/>
                <w:sz w:val="18"/>
                <w:szCs w:val="18"/>
                <w:lang w:val="it-IT"/>
              </w:rPr>
            </w:pPr>
          </w:p>
        </w:tc>
      </w:tr>
      <w:tr w14:paraId="4D49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Merge w:val="continue"/>
            <w:vAlign w:val="center"/>
          </w:tcPr>
          <w:p w14:paraId="3536F927">
            <w:pPr>
              <w:tabs>
                <w:tab w:val="left" w:pos="711"/>
              </w:tabs>
              <w:jc w:val="center"/>
              <w:rPr>
                <w:rFonts w:hint="default" w:ascii="Times New Roman" w:hAnsi="Times New Roman" w:eastAsia="宋体" w:cs="Times New Roman"/>
                <w:bCs/>
                <w:sz w:val="18"/>
                <w:szCs w:val="18"/>
                <w:lang w:val="it-IT"/>
              </w:rPr>
            </w:pPr>
          </w:p>
        </w:tc>
        <w:tc>
          <w:tcPr>
            <w:tcW w:w="1050" w:type="dxa"/>
            <w:vAlign w:val="center"/>
          </w:tcPr>
          <w:p w14:paraId="19010C2F">
            <w:pPr>
              <w:tabs>
                <w:tab w:val="left" w:pos="711"/>
              </w:tabs>
              <w:jc w:val="center"/>
              <w:rPr>
                <w:rFonts w:hint="default" w:ascii="Times New Roman" w:hAnsi="Times New Roman" w:eastAsia="宋体" w:cs="Times New Roman"/>
                <w:bCs/>
                <w:sz w:val="18"/>
                <w:szCs w:val="18"/>
                <w:lang w:val="it-IT"/>
              </w:rPr>
            </w:pPr>
            <w:r>
              <w:rPr>
                <w:rFonts w:hint="default" w:ascii="Times New Roman" w:hAnsi="Times New Roman" w:eastAsia="宋体" w:cs="Times New Roman"/>
                <w:color w:val="auto"/>
                <w:sz w:val="18"/>
                <w:szCs w:val="18"/>
                <w:highlight w:val="none"/>
                <w:lang w:val="it-IT" w:eastAsia="zh-CN"/>
              </w:rPr>
              <w:t>QP</w:t>
            </w:r>
          </w:p>
        </w:tc>
        <w:tc>
          <w:tcPr>
            <w:tcW w:w="4558" w:type="dxa"/>
            <w:vAlign w:val="center"/>
          </w:tcPr>
          <w:p w14:paraId="583D37B2">
            <w:pPr>
              <w:tabs>
                <w:tab w:val="left" w:pos="711"/>
              </w:tabs>
              <w:jc w:val="left"/>
              <w:rPr>
                <w:rFonts w:hint="default" w:ascii="Times New Roman" w:hAnsi="Times New Roman" w:eastAsia="宋体" w:cs="Times New Roman"/>
                <w:bCs/>
                <w:sz w:val="18"/>
                <w:szCs w:val="18"/>
                <w:lang w:val="it-IT"/>
              </w:rPr>
            </w:pPr>
            <w:r>
              <w:rPr>
                <w:rFonts w:hint="eastAsia" w:ascii="Times New Roman" w:hAnsi="Times New Roman" w:eastAsia="宋体" w:cs="Times New Roman"/>
                <w:i w:val="0"/>
                <w:iCs w:val="0"/>
                <w:color w:val="auto"/>
                <w:kern w:val="0"/>
                <w:sz w:val="18"/>
                <w:szCs w:val="18"/>
                <w:highlight w:val="none"/>
                <w:u w:val="none"/>
                <w:lang w:val="en-US" w:eastAsia="zh-CN" w:bidi="ar"/>
              </w:rPr>
              <w:t>AAACTGAAGGCGGGAAACGACAAT</w:t>
            </w:r>
          </w:p>
        </w:tc>
        <w:tc>
          <w:tcPr>
            <w:tcW w:w="1017" w:type="dxa"/>
            <w:vMerge w:val="continue"/>
          </w:tcPr>
          <w:p w14:paraId="5B9A660C">
            <w:pPr>
              <w:tabs>
                <w:tab w:val="left" w:pos="711"/>
              </w:tabs>
              <w:jc w:val="center"/>
              <w:rPr>
                <w:bCs/>
                <w:sz w:val="18"/>
                <w:szCs w:val="18"/>
                <w:lang w:val="it-IT"/>
              </w:rPr>
            </w:pPr>
          </w:p>
        </w:tc>
      </w:tr>
    </w:tbl>
    <w:p w14:paraId="5988C4B3">
      <w:pPr>
        <w:keepNext w:val="0"/>
        <w:keepLines w:val="0"/>
        <w:pageBreakBefore w:val="0"/>
        <w:widowControl w:val="0"/>
        <w:tabs>
          <w:tab w:val="left" w:pos="3315"/>
        </w:tabs>
        <w:kinsoku/>
        <w:wordWrap/>
        <w:overflowPunct/>
        <w:topLinePunct w:val="0"/>
        <w:autoSpaceDE/>
        <w:autoSpaceDN/>
        <w:bidi w:val="0"/>
        <w:adjustRightInd/>
        <w:snapToGrid/>
        <w:spacing w:before="157" w:beforeLines="50" w:line="312" w:lineRule="auto"/>
        <w:ind w:firstLine="420" w:firstLineChars="200"/>
        <w:textAlignment w:val="auto"/>
        <w:rPr>
          <w:rFonts w:hint="eastAsia" w:ascii="Times New Roman" w:hAnsi="Times New Roman" w:cs="Calibri"/>
          <w:szCs w:val="22"/>
          <w:lang w:val="en-US" w:eastAsia="zh-CN"/>
        </w:rPr>
      </w:pPr>
      <w:r>
        <w:rPr>
          <w:rFonts w:hint="eastAsia" w:ascii="Times New Roman" w:hAnsi="Times New Roman" w:cs="Calibri"/>
          <w:szCs w:val="22"/>
        </w:rPr>
        <w:t>抗虫耐除草剂玉米</w:t>
      </w:r>
      <w:r>
        <w:rPr>
          <w:rFonts w:hint="eastAsia" w:cs="Calibri"/>
          <w:szCs w:val="22"/>
          <w:lang w:eastAsia="zh-CN"/>
        </w:rPr>
        <w:t>QY2569-42</w:t>
      </w:r>
      <w:r>
        <w:rPr>
          <w:rFonts w:hint="eastAsia" w:ascii="Times New Roman" w:hAnsi="Times New Roman" w:cs="Calibri"/>
          <w:szCs w:val="22"/>
        </w:rPr>
        <w:t>转化体特异性PCR检测方法</w:t>
      </w:r>
      <w:r>
        <w:rPr>
          <w:rFonts w:hint="eastAsia" w:ascii="Times New Roman" w:hAnsi="Times New Roman" w:cs="Calibri"/>
          <w:szCs w:val="22"/>
          <w:lang w:eastAsia="zh-CN"/>
        </w:rPr>
        <w:t>是研发单位前期委托制标单位</w:t>
      </w:r>
      <w:r>
        <w:rPr>
          <w:rFonts w:hint="eastAsia" w:ascii="Times New Roman" w:hAnsi="Times New Roman" w:cs="Calibri"/>
          <w:szCs w:val="22"/>
        </w:rPr>
        <w:t>中国农业科学院生物技术研究所</w:t>
      </w:r>
      <w:r>
        <w:rPr>
          <w:rFonts w:hint="eastAsia" w:ascii="Times New Roman" w:hAnsi="Times New Roman" w:cs="Calibri"/>
          <w:szCs w:val="22"/>
          <w:lang w:eastAsia="zh-CN"/>
        </w:rPr>
        <w:t>建立的，制标单位拥有方法建立的全套数据，因此在标准制定过程中直接采用部分相关数据。</w:t>
      </w:r>
    </w:p>
    <w:p w14:paraId="70345C87">
      <w:pPr>
        <w:pStyle w:val="4"/>
        <w:keepNext/>
        <w:keepLines/>
        <w:pageBreakBefore w:val="0"/>
        <w:widowControl w:val="0"/>
        <w:numPr>
          <w:ilvl w:val="0"/>
          <w:numId w:val="0"/>
        </w:numPr>
        <w:kinsoku/>
        <w:wordWrap/>
        <w:overflowPunct/>
        <w:topLinePunct w:val="0"/>
        <w:autoSpaceDE/>
        <w:autoSpaceDN/>
        <w:bidi w:val="0"/>
        <w:adjustRightInd/>
        <w:snapToGrid/>
        <w:spacing w:beforeLines="50" w:line="416" w:lineRule="auto"/>
        <w:ind w:firstLine="420" w:firstLineChars="200"/>
        <w:textAlignment w:val="auto"/>
        <w:rPr>
          <w:rFonts w:eastAsia="仿宋"/>
          <w:sz w:val="32"/>
        </w:rPr>
      </w:pPr>
      <w:r>
        <w:rPr>
          <w:rFonts w:hint="eastAsia" w:ascii="Times New Roman" w:hAnsi="Times New Roman" w:eastAsia="黑体" w:cs="Calibri"/>
          <w:b w:val="0"/>
          <w:sz w:val="21"/>
          <w:lang w:val="en-US" w:eastAsia="zh-CN"/>
        </w:rPr>
        <w:t xml:space="preserve">4. </w:t>
      </w:r>
      <w:r>
        <w:rPr>
          <w:rFonts w:hint="eastAsia" w:ascii="Times New Roman" w:hAnsi="Times New Roman" w:eastAsia="黑体" w:cs="Calibri"/>
          <w:b w:val="0"/>
          <w:sz w:val="21"/>
        </w:rPr>
        <w:t>方法建立的准备工作</w:t>
      </w:r>
    </w:p>
    <w:p w14:paraId="50FC615B">
      <w:pPr>
        <w:pStyle w:val="5"/>
        <w:bidi w:val="0"/>
        <w:spacing w:before="50" w:beforeLines="50" w:after="50" w:afterLines="50" w:line="240" w:lineRule="auto"/>
        <w:ind w:firstLine="420" w:firstLineChars="200"/>
        <w:rPr>
          <w:rFonts w:hint="eastAsia" w:ascii="Times New Roman" w:hAnsi="Times New Roman" w:eastAsia="黑体" w:cs="Calibri"/>
          <w:b w:val="0"/>
        </w:rPr>
      </w:pPr>
      <w:r>
        <w:rPr>
          <w:rFonts w:hint="eastAsia" w:ascii="Times New Roman" w:hAnsi="Times New Roman" w:eastAsia="黑体" w:cs="Calibri"/>
          <w:b w:val="0"/>
          <w:lang w:val="en-US" w:eastAsia="zh-CN"/>
        </w:rPr>
        <w:t>4.</w:t>
      </w:r>
      <w:r>
        <w:rPr>
          <w:rFonts w:hint="eastAsia" w:ascii="Times New Roman" w:hAnsi="Times New Roman" w:eastAsia="黑体" w:cs="Calibri"/>
          <w:b w:val="0"/>
        </w:rPr>
        <w:t>1. 分子特征验证</w:t>
      </w:r>
    </w:p>
    <w:p w14:paraId="5D998105">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eastAsia="仿宋"/>
          <w:szCs w:val="21"/>
        </w:rPr>
      </w:pPr>
      <w:r>
        <w:rPr>
          <w:rFonts w:hint="eastAsia" w:ascii="Times New Roman" w:hAnsi="Times New Roman" w:cs="Calibri"/>
          <w:szCs w:val="22"/>
        </w:rPr>
        <w:t>首先对获得的转化体分子特征序列（标准参数需要使用的部分，如旁侧序列部分碱基）正确性进行验证。使用表</w:t>
      </w:r>
      <w:r>
        <w:rPr>
          <w:rFonts w:hint="eastAsia" w:cs="Calibri"/>
          <w:szCs w:val="22"/>
          <w:lang w:val="en-US" w:eastAsia="zh-CN"/>
        </w:rPr>
        <w:t>2</w:t>
      </w:r>
      <w:r>
        <w:rPr>
          <w:rFonts w:hint="eastAsia" w:ascii="Times New Roman" w:hAnsi="Times New Roman" w:cs="Calibri"/>
          <w:szCs w:val="22"/>
        </w:rPr>
        <w:t>-</w:t>
      </w:r>
      <w:r>
        <w:rPr>
          <w:rFonts w:hint="eastAsia" w:cs="Calibri"/>
          <w:szCs w:val="22"/>
          <w:lang w:val="en-US" w:eastAsia="zh-CN"/>
        </w:rPr>
        <w:t>3</w:t>
      </w:r>
      <w:r>
        <w:rPr>
          <w:rFonts w:hint="eastAsia" w:ascii="Times New Roman" w:hAnsi="Times New Roman" w:cs="Calibri"/>
          <w:szCs w:val="22"/>
        </w:rPr>
        <w:t>中的引物对研发者提供旁侧序列部分碱基的正确性进行验证，序列分析表明，PCR产物测序结果与研发者提供的技术资料</w:t>
      </w:r>
      <w:r>
        <w:rPr>
          <w:rFonts w:hint="eastAsia" w:ascii="Times New Roman" w:hAnsi="Times New Roman" w:cs="Calibri"/>
          <w:szCs w:val="22"/>
          <w:lang w:eastAsia="zh-CN"/>
        </w:rPr>
        <w:t>基本</w:t>
      </w:r>
      <w:r>
        <w:rPr>
          <w:rFonts w:hint="eastAsia" w:ascii="Times New Roman" w:hAnsi="Times New Roman" w:cs="Calibri"/>
          <w:szCs w:val="22"/>
        </w:rPr>
        <w:t>一致（表</w:t>
      </w:r>
      <w:r>
        <w:rPr>
          <w:rFonts w:hint="eastAsia" w:cs="Calibri"/>
          <w:szCs w:val="22"/>
          <w:lang w:val="en-US" w:eastAsia="zh-CN"/>
        </w:rPr>
        <w:t>2-3</w:t>
      </w:r>
      <w:r>
        <w:rPr>
          <w:rFonts w:hint="eastAsia" w:ascii="Times New Roman" w:hAnsi="Times New Roman" w:cs="Calibri"/>
          <w:szCs w:val="22"/>
        </w:rPr>
        <w:t>和图</w:t>
      </w:r>
      <w:r>
        <w:rPr>
          <w:rFonts w:hint="eastAsia" w:cs="Calibri"/>
          <w:szCs w:val="22"/>
          <w:lang w:val="en-US" w:eastAsia="zh-CN"/>
        </w:rPr>
        <w:t>2</w:t>
      </w:r>
      <w:r>
        <w:rPr>
          <w:rFonts w:hint="eastAsia" w:ascii="Times New Roman" w:hAnsi="Times New Roman" w:cs="Calibri"/>
          <w:szCs w:val="22"/>
        </w:rPr>
        <w:t>-3）。</w:t>
      </w:r>
    </w:p>
    <w:p w14:paraId="2ECF73BD">
      <w:pPr>
        <w:pStyle w:val="8"/>
        <w:keepNext/>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Calibri"/>
          <w:sz w:val="18"/>
          <w:szCs w:val="22"/>
        </w:rPr>
      </w:pPr>
      <w:r>
        <w:rPr>
          <w:rFonts w:hint="default" w:ascii="Times New Roman" w:hAnsi="Times New Roman" w:eastAsia="黑体" w:cs="Calibri"/>
          <w:sz w:val="18"/>
          <w:szCs w:val="22"/>
        </w:rPr>
        <w:t>表</w:t>
      </w:r>
      <w:r>
        <w:rPr>
          <w:rFonts w:hint="eastAsia" w:ascii="Times New Roman" w:hAnsi="Times New Roman" w:eastAsia="黑体" w:cs="Calibri"/>
          <w:sz w:val="18"/>
          <w:szCs w:val="22"/>
          <w:lang w:val="en-US" w:eastAsia="zh-CN"/>
        </w:rPr>
        <w:t>2</w:t>
      </w:r>
      <w:r>
        <w:rPr>
          <w:rFonts w:hint="default" w:ascii="Times New Roman" w:hAnsi="Times New Roman" w:eastAsia="黑体" w:cs="Calibri"/>
          <w:sz w:val="18"/>
          <w:szCs w:val="22"/>
        </w:rPr>
        <w:t>-</w:t>
      </w:r>
      <w:r>
        <w:rPr>
          <w:rFonts w:hint="eastAsia" w:ascii="Times New Roman" w:hAnsi="Times New Roman" w:eastAsia="黑体" w:cs="Calibri"/>
          <w:sz w:val="18"/>
          <w:szCs w:val="22"/>
          <w:lang w:val="en-US" w:eastAsia="zh-CN"/>
        </w:rPr>
        <w:t>3</w:t>
      </w:r>
      <w:r>
        <w:rPr>
          <w:rFonts w:hint="default" w:ascii="Times New Roman" w:hAnsi="Times New Roman" w:eastAsia="黑体" w:cs="Calibri"/>
          <w:sz w:val="18"/>
          <w:szCs w:val="22"/>
        </w:rPr>
        <w:t xml:space="preserve"> 抗虫耐除草剂玉米</w:t>
      </w:r>
      <w:r>
        <w:rPr>
          <w:rFonts w:hint="eastAsia" w:ascii="Times New Roman" w:hAnsi="Times New Roman" w:eastAsia="黑体" w:cs="Calibri"/>
          <w:sz w:val="18"/>
          <w:szCs w:val="22"/>
          <w:lang w:eastAsia="zh-CN"/>
        </w:rPr>
        <w:t>QY2569-42</w:t>
      </w:r>
      <w:r>
        <w:rPr>
          <w:rFonts w:hint="default" w:ascii="Times New Roman" w:hAnsi="Times New Roman" w:eastAsia="黑体" w:cs="Calibri"/>
          <w:sz w:val="18"/>
          <w:szCs w:val="22"/>
        </w:rPr>
        <w:t>旁侧序列验证引物信息</w:t>
      </w:r>
    </w:p>
    <w:tbl>
      <w:tblPr>
        <w:tblStyle w:val="16"/>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4145"/>
        <w:gridCol w:w="1037"/>
        <w:gridCol w:w="1542"/>
      </w:tblGrid>
      <w:tr w14:paraId="47B8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noWrap/>
            <w:vAlign w:val="center"/>
          </w:tcPr>
          <w:p w14:paraId="6197188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引物位置</w:t>
            </w:r>
          </w:p>
        </w:tc>
        <w:tc>
          <w:tcPr>
            <w:tcW w:w="4145" w:type="dxa"/>
            <w:noWrap/>
            <w:vAlign w:val="center"/>
          </w:tcPr>
          <w:p w14:paraId="64A8430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引物名称和序列（5′-3′）</w:t>
            </w:r>
          </w:p>
        </w:tc>
        <w:tc>
          <w:tcPr>
            <w:tcW w:w="1037" w:type="dxa"/>
            <w:noWrap/>
            <w:vAlign w:val="center"/>
          </w:tcPr>
          <w:p w14:paraId="37BC1FDC">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扩增片段</w:t>
            </w:r>
          </w:p>
          <w:p w14:paraId="179E387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大小（bp）</w:t>
            </w:r>
          </w:p>
        </w:tc>
        <w:tc>
          <w:tcPr>
            <w:tcW w:w="1542" w:type="dxa"/>
            <w:noWrap/>
            <w:vAlign w:val="center"/>
          </w:tcPr>
          <w:p w14:paraId="15C1113B">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测序结果与旁侧序列的相似度</w:t>
            </w:r>
          </w:p>
        </w:tc>
      </w:tr>
      <w:tr w14:paraId="2CCF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restart"/>
            <w:shd w:val="clear" w:color="auto" w:fill="auto"/>
            <w:noWrap/>
            <w:vAlign w:val="center"/>
          </w:tcPr>
          <w:p w14:paraId="6D64FAA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5’端</w:t>
            </w:r>
          </w:p>
        </w:tc>
        <w:tc>
          <w:tcPr>
            <w:tcW w:w="4145" w:type="dxa"/>
            <w:noWrap/>
            <w:vAlign w:val="center"/>
          </w:tcPr>
          <w:p w14:paraId="35680081">
            <w:pPr>
              <w:jc w:val="left"/>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YQ-yz5F1:AACCAGTGGCTACTAAAACGACATT</w:t>
            </w:r>
          </w:p>
        </w:tc>
        <w:tc>
          <w:tcPr>
            <w:tcW w:w="1037" w:type="dxa"/>
            <w:vMerge w:val="restart"/>
            <w:noWrap/>
            <w:vAlign w:val="center"/>
          </w:tcPr>
          <w:p w14:paraId="5FACCE65">
            <w:pPr>
              <w:widowControl/>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513</w:t>
            </w:r>
          </w:p>
        </w:tc>
        <w:tc>
          <w:tcPr>
            <w:tcW w:w="1542" w:type="dxa"/>
            <w:vMerge w:val="restart"/>
            <w:noWrap/>
            <w:vAlign w:val="center"/>
          </w:tcPr>
          <w:p w14:paraId="1E7E99DB">
            <w:pPr>
              <w:jc w:val="center"/>
              <w:rPr>
                <w:rFonts w:hint="default" w:ascii="Times New Roman" w:hAnsi="Times New Roman" w:eastAsia="宋体" w:cs="Times New Roman"/>
                <w:sz w:val="18"/>
                <w:szCs w:val="18"/>
              </w:rPr>
            </w:pPr>
            <w:r>
              <w:rPr>
                <w:rFonts w:hint="eastAsia" w:cs="Times New Roman"/>
                <w:sz w:val="18"/>
                <w:szCs w:val="18"/>
                <w:lang w:val="en-US" w:eastAsia="zh-CN"/>
              </w:rPr>
              <w:t>100</w:t>
            </w:r>
            <w:r>
              <w:rPr>
                <w:rFonts w:hint="default" w:ascii="Times New Roman" w:hAnsi="Times New Roman" w:eastAsia="宋体" w:cs="Times New Roman"/>
                <w:sz w:val="18"/>
                <w:szCs w:val="18"/>
              </w:rPr>
              <w:t>%</w:t>
            </w:r>
          </w:p>
        </w:tc>
      </w:tr>
      <w:tr w14:paraId="7B51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continue"/>
            <w:shd w:val="clear" w:color="auto" w:fill="auto"/>
            <w:noWrap/>
            <w:vAlign w:val="center"/>
          </w:tcPr>
          <w:p w14:paraId="293F4B6A">
            <w:pPr>
              <w:jc w:val="center"/>
              <w:rPr>
                <w:rFonts w:hint="default" w:ascii="Times New Roman" w:hAnsi="Times New Roman" w:eastAsia="宋体" w:cs="Times New Roman"/>
                <w:sz w:val="18"/>
                <w:szCs w:val="18"/>
                <w:lang w:val="en-US" w:eastAsia="zh-CN"/>
              </w:rPr>
            </w:pPr>
          </w:p>
        </w:tc>
        <w:tc>
          <w:tcPr>
            <w:tcW w:w="4145" w:type="dxa"/>
            <w:noWrap/>
            <w:vAlign w:val="center"/>
          </w:tcPr>
          <w:p w14:paraId="357DA3C5">
            <w:pPr>
              <w:jc w:val="left"/>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YQ-yz5R1:CGCCCCGTGACCCAGATT</w:t>
            </w:r>
          </w:p>
        </w:tc>
        <w:tc>
          <w:tcPr>
            <w:tcW w:w="1037" w:type="dxa"/>
            <w:vMerge w:val="continue"/>
            <w:noWrap/>
            <w:vAlign w:val="center"/>
          </w:tcPr>
          <w:p w14:paraId="085BD80B">
            <w:pPr>
              <w:widowControl/>
              <w:jc w:val="center"/>
              <w:textAlignment w:val="center"/>
              <w:rPr>
                <w:rFonts w:hint="default" w:ascii="Times New Roman" w:hAnsi="Times New Roman" w:eastAsia="宋体" w:cs="Times New Roman"/>
                <w:sz w:val="18"/>
                <w:szCs w:val="18"/>
              </w:rPr>
            </w:pPr>
          </w:p>
        </w:tc>
        <w:tc>
          <w:tcPr>
            <w:tcW w:w="1542" w:type="dxa"/>
            <w:vMerge w:val="continue"/>
            <w:noWrap/>
            <w:vAlign w:val="center"/>
          </w:tcPr>
          <w:p w14:paraId="29635142">
            <w:pPr>
              <w:jc w:val="center"/>
              <w:rPr>
                <w:rFonts w:hint="default" w:ascii="Times New Roman" w:hAnsi="Times New Roman" w:eastAsia="宋体" w:cs="Times New Roman"/>
                <w:sz w:val="18"/>
                <w:szCs w:val="18"/>
              </w:rPr>
            </w:pPr>
          </w:p>
        </w:tc>
      </w:tr>
      <w:tr w14:paraId="5362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restart"/>
            <w:shd w:val="clear" w:color="auto" w:fill="auto"/>
            <w:noWrap/>
            <w:vAlign w:val="center"/>
          </w:tcPr>
          <w:p w14:paraId="685C7779">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lang w:val="en-US" w:eastAsia="zh-CN"/>
              </w:rPr>
              <w:t>’端</w:t>
            </w:r>
          </w:p>
        </w:tc>
        <w:tc>
          <w:tcPr>
            <w:tcW w:w="4145" w:type="dxa"/>
            <w:shd w:val="clear" w:color="auto" w:fill="auto"/>
            <w:noWrap/>
            <w:vAlign w:val="center"/>
          </w:tcPr>
          <w:p w14:paraId="3487F56E">
            <w:pPr>
              <w:jc w:val="left"/>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QY-yz3</w:t>
            </w:r>
            <w:r>
              <w:rPr>
                <w:rFonts w:hint="default" w:ascii="Times New Roman" w:hAnsi="Times New Roman" w:eastAsia="宋体" w:cs="Times New Roman"/>
                <w:sz w:val="18"/>
                <w:szCs w:val="18"/>
                <w:lang w:val="en-US" w:eastAsia="zh-CN"/>
              </w:rPr>
              <w:t>F1:CGAAAAGTTGTTCATGGTAGTCC</w:t>
            </w:r>
          </w:p>
        </w:tc>
        <w:tc>
          <w:tcPr>
            <w:tcW w:w="1037" w:type="dxa"/>
            <w:vMerge w:val="restart"/>
            <w:noWrap/>
            <w:vAlign w:val="center"/>
          </w:tcPr>
          <w:p w14:paraId="5180AD3E">
            <w:pPr>
              <w:widowControl/>
              <w:jc w:val="center"/>
              <w:textAlignment w:val="center"/>
              <w:rPr>
                <w:rFonts w:hint="default" w:ascii="Times New Roman" w:hAnsi="Times New Roman" w:eastAsia="宋体" w:cs="Times New Roman"/>
                <w:sz w:val="18"/>
                <w:szCs w:val="18"/>
              </w:rPr>
            </w:pPr>
            <w:r>
              <w:rPr>
                <w:rFonts w:hint="eastAsia" w:cs="Times New Roman"/>
                <w:sz w:val="18"/>
                <w:szCs w:val="18"/>
                <w:lang w:val="en-US" w:eastAsia="zh-CN"/>
              </w:rPr>
              <w:t>561</w:t>
            </w:r>
          </w:p>
        </w:tc>
        <w:tc>
          <w:tcPr>
            <w:tcW w:w="1542" w:type="dxa"/>
            <w:vMerge w:val="restart"/>
            <w:noWrap/>
            <w:vAlign w:val="center"/>
          </w:tcPr>
          <w:p w14:paraId="2E6F9C9C">
            <w:pPr>
              <w:jc w:val="center"/>
              <w:rPr>
                <w:rFonts w:hint="default" w:ascii="Times New Roman" w:hAnsi="Times New Roman" w:eastAsia="宋体" w:cs="Times New Roman"/>
                <w:sz w:val="18"/>
                <w:szCs w:val="18"/>
              </w:rPr>
            </w:pPr>
            <w:r>
              <w:rPr>
                <w:rFonts w:hint="eastAsia" w:cs="Times New Roman"/>
                <w:sz w:val="18"/>
                <w:szCs w:val="18"/>
                <w:lang w:val="en-US" w:eastAsia="zh-CN"/>
              </w:rPr>
              <w:t>100</w:t>
            </w:r>
            <w:r>
              <w:rPr>
                <w:rFonts w:hint="default" w:ascii="Times New Roman" w:hAnsi="Times New Roman" w:eastAsia="宋体" w:cs="Times New Roman"/>
                <w:sz w:val="18"/>
                <w:szCs w:val="18"/>
              </w:rPr>
              <w:t>%</w:t>
            </w:r>
          </w:p>
        </w:tc>
      </w:tr>
      <w:tr w14:paraId="7BB6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continue"/>
            <w:shd w:val="clear" w:color="auto" w:fill="auto"/>
            <w:noWrap/>
            <w:vAlign w:val="center"/>
          </w:tcPr>
          <w:p w14:paraId="35066D98">
            <w:pPr>
              <w:jc w:val="left"/>
              <w:rPr>
                <w:rFonts w:hint="default" w:ascii="Times New Roman" w:hAnsi="Times New Roman" w:eastAsia="宋体" w:cs="Times New Roman"/>
                <w:sz w:val="18"/>
                <w:szCs w:val="18"/>
                <w:lang w:val="en-US" w:eastAsia="zh-CN"/>
              </w:rPr>
            </w:pPr>
          </w:p>
        </w:tc>
        <w:tc>
          <w:tcPr>
            <w:tcW w:w="4145" w:type="dxa"/>
            <w:shd w:val="clear" w:color="auto" w:fill="auto"/>
            <w:noWrap/>
            <w:vAlign w:val="center"/>
          </w:tcPr>
          <w:p w14:paraId="4E86A3ED">
            <w:pPr>
              <w:jc w:val="left"/>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QY-yz3</w:t>
            </w:r>
            <w:r>
              <w:rPr>
                <w:rFonts w:hint="default" w:ascii="Times New Roman" w:hAnsi="Times New Roman" w:eastAsia="宋体" w:cs="Times New Roman"/>
                <w:sz w:val="18"/>
                <w:szCs w:val="18"/>
                <w:lang w:val="en-US" w:eastAsia="zh-CN"/>
              </w:rPr>
              <w:t>R</w:t>
            </w:r>
            <w:r>
              <w:rPr>
                <w:rFonts w:hint="eastAsia"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lang w:val="en-US" w:eastAsia="zh-CN"/>
              </w:rPr>
              <w:t>:TTTCAGTTAAGGTTAATCATATTGG</w:t>
            </w:r>
          </w:p>
        </w:tc>
        <w:tc>
          <w:tcPr>
            <w:tcW w:w="1037" w:type="dxa"/>
            <w:vMerge w:val="continue"/>
            <w:noWrap/>
            <w:vAlign w:val="center"/>
          </w:tcPr>
          <w:p w14:paraId="74E65832">
            <w:pPr>
              <w:widowControl/>
              <w:jc w:val="center"/>
              <w:textAlignment w:val="center"/>
              <w:rPr>
                <w:rFonts w:hint="default" w:ascii="Times New Roman" w:hAnsi="Times New Roman" w:eastAsia="宋体" w:cs="Times New Roman"/>
                <w:sz w:val="18"/>
                <w:szCs w:val="18"/>
              </w:rPr>
            </w:pPr>
          </w:p>
        </w:tc>
        <w:tc>
          <w:tcPr>
            <w:tcW w:w="1542" w:type="dxa"/>
            <w:vMerge w:val="continue"/>
            <w:noWrap/>
            <w:vAlign w:val="center"/>
          </w:tcPr>
          <w:p w14:paraId="5037DACE">
            <w:pPr>
              <w:jc w:val="center"/>
              <w:rPr>
                <w:rFonts w:hint="default" w:ascii="Times New Roman" w:hAnsi="Times New Roman" w:eastAsia="宋体" w:cs="Times New Roman"/>
                <w:sz w:val="18"/>
                <w:szCs w:val="18"/>
              </w:rPr>
            </w:pPr>
          </w:p>
        </w:tc>
      </w:tr>
    </w:tbl>
    <w:p w14:paraId="43E836B5">
      <w:pPr>
        <w:jc w:val="center"/>
        <w:rPr>
          <w:rFonts w:hint="default" w:ascii="Times New Roman" w:hAnsi="Times New Roman" w:eastAsia="宋体" w:cs="Times New Roman"/>
          <w:sz w:val="18"/>
          <w:szCs w:val="18"/>
        </w:rPr>
      </w:pPr>
    </w:p>
    <w:p w14:paraId="4960DF3C">
      <w:pPr>
        <w:jc w:val="both"/>
        <w:rPr>
          <w:rFonts w:eastAsia="仿宋"/>
        </w:rPr>
      </w:pPr>
      <w:r>
        <w:drawing>
          <wp:inline distT="0" distB="0" distL="114300" distR="114300">
            <wp:extent cx="2520315" cy="2879725"/>
            <wp:effectExtent l="9525" t="9525" r="22860" b="25400"/>
            <wp:docPr id="48" name="图片 76"/>
            <wp:cNvGraphicFramePr/>
            <a:graphic xmlns:a="http://schemas.openxmlformats.org/drawingml/2006/main">
              <a:graphicData uri="http://schemas.openxmlformats.org/drawingml/2006/picture">
                <pic:pic xmlns:pic="http://schemas.openxmlformats.org/drawingml/2006/picture">
                  <pic:nvPicPr>
                    <pic:cNvPr id="48" name="图片 76"/>
                    <pic:cNvPicPr/>
                  </pic:nvPicPr>
                  <pic:blipFill>
                    <a:blip r:embed="rId9"/>
                    <a:stretch>
                      <a:fillRect/>
                    </a:stretch>
                  </pic:blipFill>
                  <pic:spPr>
                    <a:xfrm>
                      <a:off x="0" y="0"/>
                      <a:ext cx="2520315" cy="287972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520315" cy="2879725"/>
            <wp:effectExtent l="9525" t="9525" r="22860" b="25400"/>
            <wp:docPr id="46" name="图片 74"/>
            <wp:cNvGraphicFramePr/>
            <a:graphic xmlns:a="http://schemas.openxmlformats.org/drawingml/2006/main">
              <a:graphicData uri="http://schemas.openxmlformats.org/drawingml/2006/picture">
                <pic:pic xmlns:pic="http://schemas.openxmlformats.org/drawingml/2006/picture">
                  <pic:nvPicPr>
                    <pic:cNvPr id="46" name="图片 74"/>
                    <pic:cNvPicPr/>
                  </pic:nvPicPr>
                  <pic:blipFill>
                    <a:blip r:embed="rId10"/>
                    <a:stretch>
                      <a:fillRect/>
                    </a:stretch>
                  </pic:blipFill>
                  <pic:spPr>
                    <a:xfrm>
                      <a:off x="0" y="0"/>
                      <a:ext cx="2520315" cy="2879725"/>
                    </a:xfrm>
                    <a:prstGeom prst="rect">
                      <a:avLst/>
                    </a:prstGeom>
                    <a:noFill/>
                    <a:ln>
                      <a:solidFill>
                        <a:schemeClr val="tx1"/>
                      </a:solidFill>
                    </a:ln>
                  </pic:spPr>
                </pic:pic>
              </a:graphicData>
            </a:graphic>
          </wp:inline>
        </w:drawing>
      </w:r>
    </w:p>
    <w:p w14:paraId="0A526463">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Calibri"/>
          <w:color w:val="auto"/>
          <w:sz w:val="18"/>
          <w:szCs w:val="22"/>
          <w:highlight w:val="none"/>
        </w:rPr>
      </w:pPr>
      <w:r>
        <w:rPr>
          <w:rFonts w:hint="eastAsia" w:ascii="Times New Roman" w:hAnsi="Times New Roman" w:eastAsia="黑体" w:cs="Calibri"/>
          <w:color w:val="auto"/>
          <w:sz w:val="18"/>
          <w:szCs w:val="22"/>
          <w:highlight w:val="none"/>
        </w:rPr>
        <w:t>图</w:t>
      </w:r>
      <w:r>
        <w:rPr>
          <w:rFonts w:hint="eastAsia" w:ascii="Times New Roman" w:hAnsi="Times New Roman" w:eastAsia="黑体" w:cs="Calibri"/>
          <w:color w:val="auto"/>
          <w:sz w:val="18"/>
          <w:szCs w:val="22"/>
          <w:highlight w:val="none"/>
          <w:lang w:val="en-US" w:eastAsia="zh-CN"/>
        </w:rPr>
        <w:t>2-3</w:t>
      </w:r>
      <w:r>
        <w:rPr>
          <w:rFonts w:hint="eastAsia" w:ascii="Times New Roman" w:hAnsi="Times New Roman" w:eastAsia="黑体" w:cs="Calibri"/>
          <w:color w:val="auto"/>
          <w:sz w:val="18"/>
          <w:szCs w:val="22"/>
          <w:highlight w:val="none"/>
        </w:rPr>
        <w:t xml:space="preserve"> 转基因玉米</w:t>
      </w:r>
      <w:r>
        <w:rPr>
          <w:rFonts w:hint="eastAsia" w:ascii="Times New Roman" w:hAnsi="Times New Roman" w:eastAsia="黑体" w:cs="Calibri"/>
          <w:color w:val="auto"/>
          <w:sz w:val="18"/>
          <w:szCs w:val="22"/>
          <w:highlight w:val="none"/>
          <w:lang w:eastAsia="zh-CN"/>
        </w:rPr>
        <w:t>QY2569-42</w:t>
      </w:r>
      <w:r>
        <w:rPr>
          <w:rFonts w:hint="eastAsia" w:ascii="Times New Roman" w:hAnsi="Times New Roman" w:eastAsia="黑体" w:cs="Calibri"/>
          <w:color w:val="auto"/>
          <w:sz w:val="18"/>
          <w:szCs w:val="22"/>
          <w:highlight w:val="none"/>
        </w:rPr>
        <w:t>分子特征验证PCR产物测序比对结果</w:t>
      </w:r>
    </w:p>
    <w:p w14:paraId="7ADAAA3C">
      <w:pPr>
        <w:rPr>
          <w:rFonts w:hint="eastAsia"/>
          <w:lang w:val="en-US" w:eastAsia="zh-CN"/>
        </w:rPr>
      </w:pPr>
      <w:r>
        <w:rPr>
          <w:rFonts w:hint="default" w:ascii="Times New Roman" w:hAnsi="Times New Roman" w:eastAsia="宋体" w:cs="Times New Roman"/>
          <w:b w:val="0"/>
          <w:bCs w:val="0"/>
          <w:sz w:val="18"/>
          <w:szCs w:val="18"/>
          <w:lang w:val="zh-CN"/>
        </w:rPr>
        <w:t>5'端旁侧序列：</w:t>
      </w:r>
      <w:r>
        <w:rPr>
          <w:rFonts w:hint="default" w:ascii="Times New Roman" w:hAnsi="Times New Roman" w:eastAsia="宋体" w:cs="Times New Roman"/>
          <w:b w:val="0"/>
          <w:bCs w:val="0"/>
          <w:sz w:val="18"/>
          <w:szCs w:val="18"/>
          <w:lang w:val="en-US" w:eastAsia="zh-CN"/>
        </w:rPr>
        <w:t>1-2</w:t>
      </w:r>
      <w:r>
        <w:rPr>
          <w:rFonts w:hint="eastAsia" w:cs="Times New Roman"/>
          <w:b w:val="0"/>
          <w:bCs w:val="0"/>
          <w:sz w:val="18"/>
          <w:szCs w:val="18"/>
          <w:lang w:val="en-US" w:eastAsia="zh-CN"/>
        </w:rPr>
        <w:t>55</w:t>
      </w:r>
      <w:r>
        <w:rPr>
          <w:rFonts w:hint="default" w:ascii="Times New Roman" w:hAnsi="Times New Roman" w:eastAsia="宋体" w:cs="Times New Roman"/>
          <w:b w:val="0"/>
          <w:bCs w:val="0"/>
          <w:sz w:val="18"/>
          <w:szCs w:val="18"/>
          <w:lang w:val="en-US" w:eastAsia="zh-CN"/>
        </w:rPr>
        <w:t>为玉米基因组部分序列；</w:t>
      </w:r>
      <w:r>
        <w:rPr>
          <w:rFonts w:hint="eastAsia" w:cs="Times New Roman"/>
          <w:b w:val="0"/>
          <w:bCs w:val="0"/>
          <w:sz w:val="18"/>
          <w:szCs w:val="18"/>
          <w:lang w:val="en-US" w:eastAsia="zh-CN"/>
        </w:rPr>
        <w:t>256</w:t>
      </w:r>
      <w:r>
        <w:rPr>
          <w:rFonts w:hint="default" w:ascii="Times New Roman" w:hAnsi="Times New Roman" w:eastAsia="宋体" w:cs="Times New Roman"/>
          <w:b w:val="0"/>
          <w:bCs w:val="0"/>
          <w:sz w:val="18"/>
          <w:szCs w:val="18"/>
          <w:lang w:val="en-US" w:eastAsia="zh-CN"/>
        </w:rPr>
        <w:t>-</w:t>
      </w:r>
      <w:r>
        <w:rPr>
          <w:rFonts w:hint="eastAsia" w:cs="Times New Roman"/>
          <w:b w:val="0"/>
          <w:bCs w:val="0"/>
          <w:sz w:val="18"/>
          <w:szCs w:val="18"/>
          <w:lang w:val="en-US" w:eastAsia="zh-CN"/>
        </w:rPr>
        <w:t>478</w:t>
      </w:r>
      <w:r>
        <w:rPr>
          <w:rFonts w:hint="default" w:ascii="Times New Roman" w:hAnsi="Times New Roman" w:eastAsia="宋体" w:cs="Times New Roman"/>
          <w:b w:val="0"/>
          <w:bCs w:val="0"/>
          <w:sz w:val="18"/>
          <w:szCs w:val="18"/>
        </w:rPr>
        <w:t>为外源插入片段部分序列</w:t>
      </w:r>
      <w:r>
        <w:rPr>
          <w:rFonts w:hint="default" w:ascii="Times New Roman" w:hAnsi="Times New Roman" w:eastAsia="宋体" w:cs="Times New Roman"/>
          <w:b w:val="0"/>
          <w:bCs w:val="0"/>
          <w:sz w:val="18"/>
          <w:szCs w:val="18"/>
          <w:lang w:eastAsia="zh-CN"/>
        </w:rPr>
        <w:t>；</w:t>
      </w:r>
      <w:r>
        <w:rPr>
          <w:rFonts w:hint="default" w:ascii="Times New Roman" w:hAnsi="Times New Roman" w:eastAsia="宋体" w:cs="Times New Roman"/>
          <w:b w:val="0"/>
          <w:bCs w:val="0"/>
          <w:sz w:val="18"/>
          <w:szCs w:val="18"/>
          <w:lang w:val="en-US" w:eastAsia="zh-CN"/>
        </w:rPr>
        <w:t>3</w:t>
      </w:r>
      <w:r>
        <w:rPr>
          <w:rFonts w:hint="default" w:ascii="Times New Roman" w:hAnsi="Times New Roman" w:eastAsia="宋体" w:cs="Times New Roman"/>
          <w:b w:val="0"/>
          <w:bCs w:val="0"/>
          <w:sz w:val="18"/>
          <w:szCs w:val="18"/>
          <w:lang w:val="zh-CN"/>
        </w:rPr>
        <w:t>'端旁侧序列：</w:t>
      </w:r>
      <w:r>
        <w:rPr>
          <w:rFonts w:hint="default" w:ascii="Times New Roman" w:hAnsi="Times New Roman" w:eastAsia="宋体" w:cs="Times New Roman"/>
          <w:b w:val="0"/>
          <w:bCs w:val="0"/>
          <w:sz w:val="18"/>
          <w:szCs w:val="18"/>
          <w:lang w:val="en-US" w:eastAsia="zh-CN"/>
        </w:rPr>
        <w:t>1-</w:t>
      </w:r>
      <w:r>
        <w:rPr>
          <w:rFonts w:hint="eastAsia" w:cs="Times New Roman"/>
          <w:b w:val="0"/>
          <w:bCs w:val="0"/>
          <w:sz w:val="18"/>
          <w:szCs w:val="18"/>
          <w:lang w:val="en-US" w:eastAsia="zh-CN"/>
        </w:rPr>
        <w:t>287</w:t>
      </w:r>
      <w:r>
        <w:rPr>
          <w:rFonts w:hint="default" w:ascii="Times New Roman" w:hAnsi="Times New Roman" w:eastAsia="宋体" w:cs="Times New Roman"/>
          <w:b w:val="0"/>
          <w:bCs w:val="0"/>
          <w:sz w:val="18"/>
          <w:szCs w:val="18"/>
          <w:lang w:val="en-US" w:eastAsia="zh-CN"/>
        </w:rPr>
        <w:t>为</w:t>
      </w:r>
      <w:r>
        <w:rPr>
          <w:rFonts w:hint="default" w:ascii="Times New Roman" w:hAnsi="Times New Roman" w:eastAsia="宋体" w:cs="Times New Roman"/>
          <w:b w:val="0"/>
          <w:bCs w:val="0"/>
          <w:sz w:val="18"/>
          <w:szCs w:val="18"/>
        </w:rPr>
        <w:t>外源插入片段部分序列</w:t>
      </w:r>
      <w:r>
        <w:rPr>
          <w:rFonts w:hint="default" w:ascii="Times New Roman" w:hAnsi="Times New Roman" w:eastAsia="宋体" w:cs="Times New Roman"/>
          <w:b w:val="0"/>
          <w:bCs w:val="0"/>
          <w:sz w:val="18"/>
          <w:szCs w:val="18"/>
          <w:lang w:val="en-US" w:eastAsia="zh-CN"/>
        </w:rPr>
        <w:t>；</w:t>
      </w:r>
      <w:r>
        <w:rPr>
          <w:rFonts w:hint="eastAsia" w:cs="Times New Roman"/>
          <w:b w:val="0"/>
          <w:bCs w:val="0"/>
          <w:sz w:val="18"/>
          <w:szCs w:val="18"/>
          <w:lang w:val="en-US" w:eastAsia="zh-CN"/>
        </w:rPr>
        <w:t>288</w:t>
      </w:r>
      <w:r>
        <w:rPr>
          <w:rFonts w:hint="default" w:ascii="Times New Roman" w:hAnsi="Times New Roman" w:eastAsia="宋体" w:cs="Times New Roman"/>
          <w:b w:val="0"/>
          <w:bCs w:val="0"/>
          <w:sz w:val="18"/>
          <w:szCs w:val="18"/>
          <w:lang w:val="en-US" w:eastAsia="zh-CN"/>
        </w:rPr>
        <w:t>-</w:t>
      </w:r>
      <w:r>
        <w:rPr>
          <w:rFonts w:hint="eastAsia" w:cs="Times New Roman"/>
          <w:b w:val="0"/>
          <w:bCs w:val="0"/>
          <w:sz w:val="18"/>
          <w:szCs w:val="18"/>
          <w:lang w:val="en-US" w:eastAsia="zh-CN"/>
        </w:rPr>
        <w:t>550</w:t>
      </w:r>
      <w:r>
        <w:rPr>
          <w:rFonts w:hint="default" w:ascii="Times New Roman" w:hAnsi="Times New Roman" w:eastAsia="宋体" w:cs="Times New Roman"/>
          <w:b w:val="0"/>
          <w:bCs w:val="0"/>
          <w:sz w:val="18"/>
          <w:szCs w:val="18"/>
        </w:rPr>
        <w:t>为</w:t>
      </w:r>
      <w:r>
        <w:rPr>
          <w:rFonts w:hint="default" w:ascii="Times New Roman" w:hAnsi="Times New Roman" w:eastAsia="宋体" w:cs="Times New Roman"/>
          <w:b w:val="0"/>
          <w:bCs w:val="0"/>
          <w:sz w:val="18"/>
          <w:szCs w:val="18"/>
          <w:lang w:val="en-US" w:eastAsia="zh-CN"/>
        </w:rPr>
        <w:t>玉米基因组部分序列</w:t>
      </w:r>
    </w:p>
    <w:p w14:paraId="0A073D9A">
      <w:pPr>
        <w:pStyle w:val="5"/>
        <w:bidi w:val="0"/>
        <w:spacing w:before="50" w:beforeLines="50" w:after="50" w:afterLines="50" w:line="240" w:lineRule="auto"/>
        <w:ind w:firstLine="420" w:firstLineChars="200"/>
        <w:rPr>
          <w:rFonts w:hint="eastAsia" w:ascii="Times New Roman" w:hAnsi="Times New Roman" w:eastAsia="黑体" w:cs="Calibri"/>
          <w:b w:val="0"/>
          <w:highlight w:val="none"/>
        </w:rPr>
      </w:pPr>
      <w:r>
        <w:rPr>
          <w:rFonts w:hint="eastAsia" w:ascii="Times New Roman" w:hAnsi="Times New Roman" w:eastAsia="黑体" w:cs="Calibri"/>
          <w:b w:val="0"/>
          <w:highlight w:val="none"/>
          <w:lang w:val="en-US" w:eastAsia="zh-CN"/>
        </w:rPr>
        <w:t xml:space="preserve">4.2 </w:t>
      </w:r>
      <w:r>
        <w:rPr>
          <w:rFonts w:hint="eastAsia" w:ascii="Times New Roman" w:hAnsi="Times New Roman" w:eastAsia="黑体" w:cs="Calibri"/>
          <w:b w:val="0"/>
          <w:highlight w:val="none"/>
        </w:rPr>
        <w:t>材料的纯合性或杂合性验证</w:t>
      </w:r>
    </w:p>
    <w:p w14:paraId="1B0FB887">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eastAsia="仿宋"/>
          <w:sz w:val="32"/>
          <w:szCs w:val="32"/>
        </w:rPr>
      </w:pPr>
      <w:r>
        <w:rPr>
          <w:rFonts w:hint="eastAsia" w:ascii="Times New Roman" w:hAnsi="Times New Roman" w:eastAsia="黑体" w:cs="Calibri"/>
          <w:b w:val="0"/>
          <w:bCs/>
          <w:kern w:val="2"/>
          <w:sz w:val="21"/>
          <w:szCs w:val="28"/>
          <w:lang w:val="en-US" w:eastAsia="zh-CN" w:bidi="ar-SA"/>
        </w:rPr>
        <w:t>（1）材料纯合性鉴定方法</w:t>
      </w:r>
    </w:p>
    <w:p w14:paraId="7A765A3B">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抗虫耐除草剂玉米</w:t>
      </w:r>
      <w:r>
        <w:rPr>
          <w:rFonts w:hint="eastAsia" w:cs="Times New Roman"/>
          <w:szCs w:val="22"/>
          <w:lang w:eastAsia="zh-CN"/>
        </w:rPr>
        <w:t>QY2569-42</w:t>
      </w:r>
      <w:r>
        <w:rPr>
          <w:rFonts w:hint="default" w:ascii="Times New Roman" w:hAnsi="Times New Roman" w:cs="Times New Roman"/>
          <w:szCs w:val="22"/>
        </w:rPr>
        <w:t>及其受体材料育苗后提取单株叶片的抗虫耐除草剂玉米</w:t>
      </w:r>
      <w:r>
        <w:rPr>
          <w:rFonts w:hint="eastAsia" w:cs="Times New Roman"/>
          <w:szCs w:val="22"/>
          <w:lang w:eastAsia="zh-CN"/>
        </w:rPr>
        <w:t>QY2569-42</w:t>
      </w:r>
      <w:r>
        <w:rPr>
          <w:rFonts w:hint="default" w:ascii="Times New Roman" w:hAnsi="Times New Roman" w:cs="Times New Roman"/>
          <w:szCs w:val="22"/>
        </w:rPr>
        <w:t>基因组DNA，以25 ng/μL DNA为模板，选取单株进行纯合性鉴定。转基因材料纯合性鉴定可采用普通PCR或微滴数字PCR两种方法。</w:t>
      </w:r>
    </w:p>
    <w:p w14:paraId="500AB9F3">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（2）材料纯合性鉴定结果</w:t>
      </w:r>
    </w:p>
    <w:p w14:paraId="48F4C86D">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eastAsia" w:ascii="Times New Roman" w:hAnsi="Times New Roman" w:cs="Times New Roman"/>
          <w:szCs w:val="22"/>
          <w:lang w:val="en-US" w:eastAsia="zh-CN"/>
        </w:rPr>
        <w:t>经过与玉米基因组blast序列分析，</w:t>
      </w:r>
      <w:r>
        <w:rPr>
          <w:rFonts w:hint="default" w:ascii="Times New Roman" w:hAnsi="Times New Roman" w:cs="Times New Roman"/>
          <w:szCs w:val="22"/>
        </w:rPr>
        <w:t>5’端</w:t>
      </w:r>
      <w:r>
        <w:rPr>
          <w:rFonts w:hint="eastAsia" w:ascii="Times New Roman" w:hAnsi="Times New Roman" w:cs="Times New Roman"/>
          <w:szCs w:val="22"/>
          <w:lang w:eastAsia="zh-CN"/>
        </w:rPr>
        <w:t>和</w:t>
      </w:r>
      <w:r>
        <w:rPr>
          <w:rFonts w:hint="eastAsia" w:ascii="Times New Roman" w:hAnsi="Times New Roman" w:cs="Times New Roman"/>
          <w:szCs w:val="22"/>
          <w:lang w:val="en-US" w:eastAsia="zh-CN"/>
        </w:rPr>
        <w:t>3</w:t>
      </w:r>
      <w:r>
        <w:rPr>
          <w:rFonts w:hint="default" w:ascii="Times New Roman" w:hAnsi="Times New Roman" w:cs="Times New Roman"/>
          <w:szCs w:val="22"/>
        </w:rPr>
        <w:t>’端基因组</w:t>
      </w:r>
      <w:r>
        <w:rPr>
          <w:rFonts w:hint="eastAsia" w:ascii="Times New Roman" w:hAnsi="Times New Roman" w:cs="Times New Roman"/>
          <w:szCs w:val="22"/>
          <w:lang w:eastAsia="zh-CN"/>
        </w:rPr>
        <w:t>序列存在多条染色体、多个位点重复序列，很难设计</w:t>
      </w:r>
      <w:r>
        <w:rPr>
          <w:rFonts w:hint="default" w:ascii="Times New Roman" w:hAnsi="Times New Roman" w:cs="Times New Roman"/>
          <w:szCs w:val="22"/>
        </w:rPr>
        <w:t>普通PCR纯合性鉴定</w:t>
      </w:r>
      <w:r>
        <w:rPr>
          <w:rFonts w:hint="eastAsia" w:ascii="Times New Roman" w:hAnsi="Times New Roman" w:cs="Times New Roman"/>
          <w:szCs w:val="22"/>
          <w:lang w:eastAsia="zh-CN"/>
        </w:rPr>
        <w:t>方法，</w:t>
      </w:r>
      <w:r>
        <w:rPr>
          <w:rFonts w:hint="eastAsia" w:ascii="Times New Roman" w:hAnsi="Times New Roman" w:cs="Times New Roman"/>
          <w:szCs w:val="22"/>
          <w:lang w:val="en-US" w:eastAsia="zh-CN"/>
        </w:rPr>
        <w:t>本研究中采用微滴数字PCR方法，引物探针使用本研究中的</w:t>
      </w:r>
      <w:r>
        <w:rPr>
          <w:rFonts w:hint="eastAsia" w:ascii="Times New Roman" w:hAnsi="Times New Roman" w:cs="Times New Roman"/>
          <w:szCs w:val="22"/>
        </w:rPr>
        <w:t>实时荧光PCR定性检测方法</w:t>
      </w:r>
      <w:r>
        <w:rPr>
          <w:rFonts w:hint="eastAsia" w:ascii="Times New Roman" w:hAnsi="Times New Roman" w:cs="Times New Roman"/>
          <w:szCs w:val="22"/>
          <w:lang w:eastAsia="zh-CN"/>
        </w:rPr>
        <w:t>中所列的引物探针。</w:t>
      </w:r>
      <w:r>
        <w:rPr>
          <w:rFonts w:hint="default" w:ascii="Times New Roman" w:hAnsi="Times New Roman" w:cs="Times New Roman"/>
          <w:szCs w:val="22"/>
        </w:rPr>
        <w:t>检测结果</w:t>
      </w:r>
      <w:r>
        <w:rPr>
          <w:rFonts w:hint="eastAsia" w:ascii="Times New Roman" w:hAnsi="Times New Roman" w:cs="Times New Roman"/>
          <w:szCs w:val="22"/>
          <w:lang w:eastAsia="zh-CN"/>
        </w:rPr>
        <w:t>显示：</w:t>
      </w:r>
      <w:r>
        <w:rPr>
          <w:rFonts w:hint="eastAsia" w:ascii="Times New Roman" w:hAnsi="Times New Roman" w:cs="Times New Roman"/>
          <w:szCs w:val="22"/>
          <w:lang w:val="en-US" w:eastAsia="zh-CN"/>
        </w:rPr>
        <w:t>4个单株中</w:t>
      </w:r>
      <w:r>
        <w:rPr>
          <w:rFonts w:hint="eastAsia" w:ascii="Times New Roman" w:hAnsi="Times New Roman" w:cs="Times New Roman"/>
          <w:szCs w:val="22"/>
          <w:lang w:val="it-IT" w:eastAsia="zh-CN"/>
        </w:rPr>
        <w:t>QY2569-42</w:t>
      </w:r>
      <w:r>
        <w:rPr>
          <w:rFonts w:hint="default" w:ascii="Times New Roman" w:hAnsi="Times New Roman" w:cs="Times New Roman"/>
          <w:szCs w:val="22"/>
        </w:rPr>
        <w:t>阳性微滴数</w:t>
      </w:r>
      <w:r>
        <w:rPr>
          <w:rFonts w:hint="eastAsia" w:ascii="Times New Roman" w:hAnsi="Times New Roman" w:cs="Times New Roman"/>
          <w:szCs w:val="22"/>
          <w:lang w:val="en-US" w:eastAsia="zh-CN"/>
        </w:rPr>
        <w:t>/</w:t>
      </w:r>
      <w:r>
        <w:rPr>
          <w:rFonts w:hint="default" w:ascii="Times New Roman" w:hAnsi="Times New Roman" w:cs="Times New Roman"/>
          <w:szCs w:val="22"/>
        </w:rPr>
        <w:t>zSSIIb阳性微滴数</w:t>
      </w:r>
      <w:r>
        <w:rPr>
          <w:rFonts w:hint="eastAsia" w:ascii="Times New Roman" w:hAnsi="Times New Roman" w:cs="Times New Roman"/>
          <w:szCs w:val="22"/>
          <w:lang w:eastAsia="zh-CN"/>
        </w:rPr>
        <w:t>的比值分别为</w:t>
      </w:r>
      <w:r>
        <w:rPr>
          <w:rFonts w:hint="eastAsia" w:ascii="Times New Roman" w:hAnsi="Times New Roman" w:cs="Times New Roman"/>
          <w:szCs w:val="22"/>
          <w:lang w:val="en-US" w:eastAsia="zh-CN"/>
        </w:rPr>
        <w:t>0.98、0.92、1.10、0.96，表明</w:t>
      </w:r>
      <w:r>
        <w:rPr>
          <w:rFonts w:hint="default" w:ascii="Times New Roman" w:hAnsi="Times New Roman" w:cs="Times New Roman"/>
          <w:szCs w:val="22"/>
        </w:rPr>
        <w:t>均为纯合体。对鉴定出来的纯合的抗虫耐除草剂玉米</w:t>
      </w:r>
      <w:r>
        <w:rPr>
          <w:rFonts w:hint="eastAsia" w:ascii="Times New Roman" w:hAnsi="Times New Roman" w:cs="Times New Roman"/>
          <w:szCs w:val="22"/>
          <w:lang w:eastAsia="zh-CN"/>
        </w:rPr>
        <w:t>QY2569-42</w:t>
      </w:r>
      <w:r>
        <w:rPr>
          <w:rFonts w:hint="default" w:ascii="Times New Roman" w:hAnsi="Times New Roman" w:cs="Times New Roman"/>
          <w:szCs w:val="22"/>
        </w:rPr>
        <w:t>单株幼苗提取基因组DNA，作为后续实验材料。</w:t>
      </w:r>
    </w:p>
    <w:p w14:paraId="66C45BC7">
      <w:pPr>
        <w:pStyle w:val="3"/>
        <w:bidi w:val="0"/>
        <w:spacing w:before="50" w:after="50" w:line="240" w:lineRule="auto"/>
        <w:ind w:firstLine="0" w:firstLineChars="0"/>
        <w:rPr>
          <w:rFonts w:hint="eastAsia" w:ascii="Times New Roman" w:hAnsi="Times New Roman" w:eastAsia="黑体" w:cs="Calibri"/>
          <w:b w:val="0"/>
          <w:sz w:val="21"/>
        </w:rPr>
      </w:pPr>
      <w:bookmarkStart w:id="11" w:name="_Toc31295"/>
      <w:r>
        <w:rPr>
          <w:rFonts w:hint="eastAsia" w:ascii="Times New Roman" w:hAnsi="Times New Roman" w:eastAsia="黑体" w:cs="Calibri"/>
          <w:b w:val="0"/>
          <w:sz w:val="21"/>
          <w:lang w:val="en-US" w:eastAsia="zh-CN"/>
        </w:rPr>
        <w:t>（三）</w:t>
      </w:r>
      <w:r>
        <w:rPr>
          <w:rFonts w:hint="eastAsia" w:ascii="Times New Roman" w:hAnsi="Times New Roman" w:eastAsia="黑体" w:cs="Calibri"/>
          <w:b w:val="0"/>
          <w:sz w:val="21"/>
        </w:rPr>
        <w:t>标准的主要内容</w:t>
      </w:r>
      <w:r>
        <w:rPr>
          <w:rFonts w:hint="eastAsia" w:ascii="Times New Roman" w:hAnsi="Times New Roman" w:eastAsia="黑体" w:cs="Calibri"/>
          <w:b w:val="0"/>
          <w:sz w:val="21"/>
          <w:lang w:eastAsia="zh-CN"/>
        </w:rPr>
        <w:t>、</w:t>
      </w:r>
      <w:r>
        <w:rPr>
          <w:rFonts w:hint="eastAsia" w:ascii="Times New Roman" w:hAnsi="Times New Roman" w:eastAsia="黑体" w:cs="Calibri"/>
          <w:b w:val="0"/>
          <w:sz w:val="21"/>
        </w:rPr>
        <w:t>技术参数的确定</w:t>
      </w:r>
      <w:bookmarkEnd w:id="11"/>
    </w:p>
    <w:p w14:paraId="1E363E67">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标准文本结构包括范围、规范性引用文件、术语和定义、通用要求、实时荧光PCR定性检测方法、实时荧光PCR定量检测方法、普通PCR定性检测方法、附录等8个部分。</w:t>
      </w:r>
    </w:p>
    <w:p w14:paraId="49260EF1">
      <w:pPr>
        <w:bidi w:val="0"/>
        <w:spacing w:line="312" w:lineRule="auto"/>
        <w:ind w:firstLine="420" w:firstLineChars="200"/>
        <w:rPr>
          <w:rFonts w:hint="eastAsia" w:ascii="Times New Roman" w:hAnsi="Times New Roman" w:cs="Calibri"/>
          <w:szCs w:val="22"/>
          <w:highlight w:val="none"/>
        </w:rPr>
      </w:pPr>
      <w:r>
        <w:rPr>
          <w:rFonts w:ascii="Times New Roman" w:hAnsi="Times New Roman" w:cs="Calibri"/>
          <w:szCs w:val="22"/>
          <w:highlight w:val="none"/>
        </w:rPr>
        <w:t>标准文本主要技术内容包括抗虫耐除草剂玉米</w:t>
      </w:r>
      <w:r>
        <w:rPr>
          <w:rFonts w:hint="eastAsia" w:cs="Calibri"/>
          <w:szCs w:val="22"/>
          <w:highlight w:val="none"/>
          <w:lang w:eastAsia="zh-CN"/>
        </w:rPr>
        <w:t>QY2569-42</w:t>
      </w:r>
      <w:r>
        <w:rPr>
          <w:rFonts w:ascii="Times New Roman" w:hAnsi="Times New Roman" w:cs="Calibri"/>
          <w:szCs w:val="22"/>
          <w:highlight w:val="none"/>
        </w:rPr>
        <w:t>转化体特异性实时荧光PCR定性检测方法、实时荧光PCR定量检测方法和普通PCR定性检测方法。标准的主要技术参数包括内标准基因引物及探针序列、抗虫耐除草剂玉米</w:t>
      </w:r>
      <w:r>
        <w:rPr>
          <w:rFonts w:hint="eastAsia" w:cs="Calibri"/>
          <w:szCs w:val="22"/>
          <w:highlight w:val="none"/>
          <w:lang w:eastAsia="zh-CN"/>
        </w:rPr>
        <w:t>QY2569-42</w:t>
      </w:r>
      <w:r>
        <w:rPr>
          <w:rFonts w:ascii="Times New Roman" w:hAnsi="Times New Roman" w:cs="Calibri"/>
          <w:szCs w:val="22"/>
          <w:highlight w:val="none"/>
        </w:rPr>
        <w:t>转化体特异性检测引物及探针序列、目的片段大小、PCR扩增体系（成分、浓度、体积等）、PCR扩增条件（温度、时间、循环数等）、检出限、定量限等。</w:t>
      </w:r>
    </w:p>
    <w:p w14:paraId="4B863E33">
      <w:pPr>
        <w:pStyle w:val="3"/>
        <w:bidi w:val="0"/>
        <w:spacing w:before="50" w:after="50" w:line="240" w:lineRule="auto"/>
        <w:ind w:firstLine="0" w:firstLineChars="0"/>
        <w:rPr>
          <w:rFonts w:ascii="Times New Roman" w:hAnsi="Times New Roman" w:eastAsia="黑体" w:cs="Calibri"/>
          <w:b w:val="0"/>
          <w:sz w:val="21"/>
        </w:rPr>
      </w:pPr>
      <w:bookmarkStart w:id="12" w:name="_Toc23393"/>
      <w:r>
        <w:rPr>
          <w:rFonts w:hint="eastAsia" w:ascii="Times New Roman" w:hAnsi="Times New Roman" w:eastAsia="黑体" w:cs="Calibri"/>
          <w:b w:val="0"/>
          <w:sz w:val="21"/>
          <w:lang w:val="en-US" w:eastAsia="zh-CN"/>
        </w:rPr>
        <w:t>方法一、</w:t>
      </w:r>
      <w:r>
        <w:rPr>
          <w:rFonts w:hint="eastAsia" w:eastAsia="黑体" w:cs="Calibri"/>
          <w:b w:val="0"/>
          <w:sz w:val="21"/>
          <w:lang w:eastAsia="zh-CN"/>
        </w:rPr>
        <w:t>抗虫耐除草剂玉米QY2569-42</w:t>
      </w:r>
      <w:r>
        <w:rPr>
          <w:rFonts w:ascii="Times New Roman" w:hAnsi="Times New Roman" w:eastAsia="黑体" w:cs="Calibri"/>
          <w:b w:val="0"/>
          <w:sz w:val="21"/>
        </w:rPr>
        <w:t>转化体特异性实时荧光PCR定性检测方法建立</w:t>
      </w:r>
      <w:bookmarkEnd w:id="12"/>
    </w:p>
    <w:p w14:paraId="5982B16C">
      <w:pPr>
        <w:pStyle w:val="3"/>
        <w:bidi w:val="0"/>
        <w:spacing w:before="50" w:after="50" w:line="240" w:lineRule="auto"/>
        <w:ind w:firstLine="0" w:firstLineChars="0"/>
        <w:rPr>
          <w:rFonts w:ascii="Times New Roman" w:hAnsi="Times New Roman" w:eastAsia="黑体" w:cs="Calibri"/>
          <w:b w:val="0"/>
          <w:sz w:val="21"/>
        </w:rPr>
      </w:pPr>
      <w:bookmarkStart w:id="13" w:name="_Toc6399"/>
      <w:r>
        <w:rPr>
          <w:rFonts w:ascii="Times New Roman" w:hAnsi="Times New Roman" w:eastAsia="黑体" w:cs="Calibri"/>
          <w:b w:val="0"/>
          <w:sz w:val="21"/>
        </w:rPr>
        <w:t>1. 引物</w:t>
      </w:r>
      <w:r>
        <w:rPr>
          <w:rFonts w:hint="eastAsia" w:ascii="Times New Roman" w:hAnsi="Times New Roman" w:eastAsia="黑体" w:cs="Calibri"/>
          <w:b w:val="0"/>
          <w:sz w:val="21"/>
          <w:lang w:val="en-US" w:eastAsia="zh-CN"/>
        </w:rPr>
        <w:t>和</w:t>
      </w:r>
      <w:r>
        <w:rPr>
          <w:rFonts w:ascii="Times New Roman" w:hAnsi="Times New Roman" w:eastAsia="黑体" w:cs="Calibri"/>
          <w:b w:val="0"/>
          <w:sz w:val="21"/>
        </w:rPr>
        <w:t>探针的设计与确定</w:t>
      </w:r>
      <w:bookmarkEnd w:id="13"/>
    </w:p>
    <w:p w14:paraId="700AFFAA">
      <w:pPr>
        <w:pStyle w:val="3"/>
        <w:bidi w:val="0"/>
        <w:spacing w:before="50" w:after="50" w:line="240" w:lineRule="auto"/>
        <w:ind w:firstLine="0" w:firstLineChars="0"/>
        <w:rPr>
          <w:rFonts w:ascii="Times New Roman" w:hAnsi="Times New Roman" w:eastAsia="黑体" w:cs="Calibri"/>
          <w:b w:val="0"/>
          <w:sz w:val="21"/>
        </w:rPr>
      </w:pPr>
      <w:bookmarkStart w:id="14" w:name="_Toc15749"/>
      <w:r>
        <w:rPr>
          <w:rFonts w:ascii="Times New Roman" w:hAnsi="Times New Roman" w:eastAsia="黑体" w:cs="Calibri"/>
          <w:b w:val="0"/>
          <w:sz w:val="21"/>
        </w:rPr>
        <w:t>1.1 引物</w:t>
      </w:r>
      <w:r>
        <w:rPr>
          <w:rFonts w:hint="eastAsia" w:ascii="Times New Roman" w:hAnsi="Times New Roman" w:eastAsia="黑体" w:cs="Calibri"/>
          <w:b w:val="0"/>
          <w:sz w:val="21"/>
          <w:lang w:val="en-US" w:eastAsia="zh-CN"/>
        </w:rPr>
        <w:t>和</w:t>
      </w:r>
      <w:r>
        <w:rPr>
          <w:rFonts w:ascii="Times New Roman" w:hAnsi="Times New Roman" w:eastAsia="黑体" w:cs="Calibri"/>
          <w:b w:val="0"/>
          <w:sz w:val="21"/>
        </w:rPr>
        <w:t>探针的设计</w:t>
      </w:r>
      <w:bookmarkEnd w:id="14"/>
    </w:p>
    <w:p w14:paraId="41CC158D">
      <w:pPr>
        <w:bidi w:val="0"/>
        <w:spacing w:line="312" w:lineRule="auto"/>
        <w:ind w:firstLine="420" w:firstLineChars="200"/>
        <w:rPr>
          <w:rFonts w:hint="default" w:ascii="Times New Roman" w:hAnsi="Times New Roman" w:cs="Calibri"/>
          <w:szCs w:val="22"/>
          <w:highlight w:val="none"/>
        </w:rPr>
      </w:pPr>
      <w:r>
        <w:t>对研发者提供的序列</w:t>
      </w:r>
      <w:r>
        <w:rPr>
          <w:rFonts w:hint="eastAsia"/>
        </w:rPr>
        <w:t>测序</w:t>
      </w:r>
      <w:r>
        <w:t>确认后，</w:t>
      </w:r>
      <w:r>
        <w:rPr>
          <w:rFonts w:hint="default" w:ascii="Times New Roman" w:hAnsi="Times New Roman" w:cs="Calibri"/>
          <w:szCs w:val="22"/>
          <w:highlight w:val="none"/>
        </w:rPr>
        <w:t>应用引物设计软件Primer Premier 5，综合考虑核苷酸序列GC含量和引物Tm值，</w:t>
      </w:r>
      <w:r>
        <w:rPr>
          <w:rFonts w:hint="eastAsia" w:cs="Calibri"/>
          <w:szCs w:val="22"/>
          <w:highlight w:val="none"/>
          <w:lang w:eastAsia="zh-CN"/>
        </w:rPr>
        <w:t>由于</w:t>
      </w:r>
      <w:r>
        <w:rPr>
          <w:rFonts w:hint="eastAsia" w:cs="Calibri"/>
          <w:szCs w:val="22"/>
          <w:highlight w:val="none"/>
          <w:lang w:val="en-US" w:eastAsia="zh-CN"/>
        </w:rPr>
        <w:t>L</w:t>
      </w:r>
      <w:r>
        <w:rPr>
          <w:rFonts w:hint="default" w:ascii="Times New Roman" w:hAnsi="Times New Roman" w:cs="Calibri"/>
          <w:szCs w:val="22"/>
          <w:highlight w:val="none"/>
        </w:rPr>
        <w:t>B端（基因组</w:t>
      </w:r>
      <w:r>
        <w:rPr>
          <w:rFonts w:hint="eastAsia" w:cs="Calibri"/>
          <w:szCs w:val="22"/>
          <w:highlight w:val="none"/>
          <w:lang w:val="en-US" w:eastAsia="zh-CN"/>
        </w:rPr>
        <w:t>5</w:t>
      </w:r>
      <w:r>
        <w:rPr>
          <w:rFonts w:hint="default" w:ascii="Times New Roman" w:hAnsi="Times New Roman" w:cs="Calibri"/>
          <w:szCs w:val="22"/>
          <w:highlight w:val="none"/>
        </w:rPr>
        <w:t>′端）</w:t>
      </w:r>
      <w:r>
        <w:rPr>
          <w:rFonts w:hint="eastAsia" w:cs="Calibri"/>
          <w:szCs w:val="22"/>
          <w:highlight w:val="none"/>
          <w:lang w:eastAsia="zh-CN"/>
        </w:rPr>
        <w:t>序列</w:t>
      </w:r>
      <w:r>
        <w:rPr>
          <w:rFonts w:hint="default" w:ascii="Times New Roman" w:hAnsi="Times New Roman" w:cs="Calibri"/>
          <w:szCs w:val="22"/>
          <w:highlight w:val="none"/>
        </w:rPr>
        <w:t>GC含量</w:t>
      </w:r>
      <w:r>
        <w:rPr>
          <w:rFonts w:hint="eastAsia" w:cs="Calibri"/>
          <w:szCs w:val="22"/>
          <w:highlight w:val="none"/>
          <w:lang w:eastAsia="zh-CN"/>
        </w:rPr>
        <w:t>偏低，</w:t>
      </w:r>
      <w:r>
        <w:rPr>
          <w:rFonts w:hint="default" w:ascii="Times New Roman" w:hAnsi="Times New Roman" w:cs="Calibri"/>
          <w:szCs w:val="22"/>
          <w:highlight w:val="none"/>
        </w:rPr>
        <w:t>引物Tm值</w:t>
      </w:r>
      <w:r>
        <w:rPr>
          <w:rFonts w:hint="eastAsia" w:cs="Calibri"/>
          <w:szCs w:val="22"/>
          <w:highlight w:val="none"/>
          <w:lang w:eastAsia="zh-CN"/>
        </w:rPr>
        <w:t>低，扩增效率低，所以优先</w:t>
      </w:r>
      <w:r>
        <w:rPr>
          <w:rFonts w:hint="default" w:ascii="Times New Roman" w:hAnsi="Times New Roman" w:cs="Calibri"/>
          <w:szCs w:val="22"/>
          <w:highlight w:val="none"/>
        </w:rPr>
        <w:t>对插入位置的</w:t>
      </w:r>
      <w:r>
        <w:rPr>
          <w:rFonts w:hint="eastAsia" w:cs="Calibri"/>
          <w:szCs w:val="22"/>
          <w:highlight w:val="none"/>
          <w:lang w:val="en-US" w:eastAsia="zh-CN"/>
        </w:rPr>
        <w:t>R</w:t>
      </w:r>
      <w:r>
        <w:rPr>
          <w:rFonts w:hint="default" w:ascii="Times New Roman" w:hAnsi="Times New Roman" w:cs="Calibri"/>
          <w:szCs w:val="22"/>
          <w:highlight w:val="none"/>
        </w:rPr>
        <w:t>B端（基因组</w:t>
      </w:r>
      <w:r>
        <w:rPr>
          <w:rFonts w:hint="eastAsia" w:cs="Calibri"/>
          <w:szCs w:val="22"/>
          <w:highlight w:val="none"/>
          <w:lang w:val="en-US" w:eastAsia="zh-CN"/>
        </w:rPr>
        <w:t>3</w:t>
      </w:r>
      <w:r>
        <w:rPr>
          <w:rFonts w:hint="default" w:ascii="Times New Roman" w:hAnsi="Times New Roman" w:cs="Calibri"/>
          <w:szCs w:val="22"/>
          <w:highlight w:val="none"/>
        </w:rPr>
        <w:t>′端）</w:t>
      </w:r>
      <w:r>
        <w:rPr>
          <w:rFonts w:hint="eastAsia" w:ascii="Times New Roman" w:hAnsi="Times New Roman" w:cs="Calibri"/>
          <w:szCs w:val="22"/>
          <w:highlight w:val="none"/>
          <w:lang w:eastAsia="zh-CN"/>
        </w:rPr>
        <w:t>序列，</w:t>
      </w:r>
      <w:r>
        <w:rPr>
          <w:rFonts w:hint="default" w:ascii="Times New Roman" w:hAnsi="Times New Roman" w:cs="Calibri"/>
          <w:szCs w:val="22"/>
          <w:highlight w:val="none"/>
        </w:rPr>
        <w:t>设计多个转化体特异引物和探针，引物探针序列信息见表</w:t>
      </w:r>
      <w:r>
        <w:rPr>
          <w:rFonts w:hint="eastAsia" w:cs="Calibri"/>
          <w:szCs w:val="22"/>
          <w:highlight w:val="none"/>
          <w:lang w:val="en-US" w:eastAsia="zh-CN"/>
        </w:rPr>
        <w:t>2-4</w:t>
      </w:r>
      <w:r>
        <w:rPr>
          <w:rFonts w:hint="default" w:ascii="Times New Roman" w:hAnsi="Times New Roman" w:cs="Calibri"/>
          <w:szCs w:val="22"/>
          <w:highlight w:val="none"/>
        </w:rPr>
        <w:t>。</w:t>
      </w:r>
    </w:p>
    <w:p w14:paraId="3AC1D446">
      <w:pPr>
        <w:pStyle w:val="8"/>
        <w:spacing w:line="312" w:lineRule="auto"/>
        <w:jc w:val="center"/>
        <w:rPr>
          <w:rFonts w:ascii="Times New Roman" w:hAnsi="Times New Roman" w:eastAsia="仿宋"/>
          <w:b/>
          <w:bCs/>
          <w:sz w:val="21"/>
          <w:szCs w:val="21"/>
        </w:rPr>
      </w:pPr>
      <w:r>
        <w:rPr>
          <w:rFonts w:hint="eastAsia" w:ascii="Times New Roman" w:hAnsi="Times New Roman" w:eastAsia="黑体" w:cs="Calibri"/>
          <w:sz w:val="18"/>
          <w:szCs w:val="22"/>
          <w:lang w:eastAsia="zh-CN"/>
        </w:rPr>
        <w:t>表</w:t>
      </w:r>
      <w:r>
        <w:rPr>
          <w:rFonts w:hint="eastAsia" w:ascii="Times New Roman" w:hAnsi="Times New Roman" w:eastAsia="黑体" w:cs="Calibri"/>
          <w:sz w:val="18"/>
          <w:szCs w:val="22"/>
          <w:lang w:val="en-US" w:eastAsia="zh-CN"/>
        </w:rPr>
        <w:t>2-4</w:t>
      </w:r>
      <w:r>
        <w:rPr>
          <w:rFonts w:hint="eastAsia" w:ascii="Times New Roman" w:hAnsi="Times New Roman" w:eastAsia="黑体" w:cs="Calibri"/>
          <w:sz w:val="18"/>
          <w:szCs w:val="22"/>
          <w:lang w:eastAsia="zh-CN"/>
        </w:rPr>
        <w:t xml:space="preserve"> 实时荧光PCR定性检测方法引物/探针序列信息</w:t>
      </w:r>
    </w:p>
    <w:tbl>
      <w:tblPr>
        <w:tblStyle w:val="17"/>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4520"/>
        <w:gridCol w:w="1734"/>
        <w:gridCol w:w="1488"/>
      </w:tblGrid>
      <w:tr w14:paraId="7B7B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1" w:type="dxa"/>
            <w:vAlign w:val="center"/>
          </w:tcPr>
          <w:p w14:paraId="0FB9EC28">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引物/探针组合</w:t>
            </w:r>
          </w:p>
        </w:tc>
        <w:tc>
          <w:tcPr>
            <w:tcW w:w="4520" w:type="dxa"/>
            <w:vAlign w:val="center"/>
          </w:tcPr>
          <w:p w14:paraId="650EAA4F">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引物名称和序列（5'-3'）</w:t>
            </w:r>
          </w:p>
        </w:tc>
        <w:tc>
          <w:tcPr>
            <w:tcW w:w="1734" w:type="dxa"/>
            <w:vAlign w:val="center"/>
          </w:tcPr>
          <w:p w14:paraId="3FF01AD6">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探针名称和序列（5'-3'）</w:t>
            </w:r>
          </w:p>
        </w:tc>
        <w:tc>
          <w:tcPr>
            <w:tcW w:w="1488" w:type="dxa"/>
            <w:vAlign w:val="center"/>
          </w:tcPr>
          <w:p w14:paraId="6D01275A">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扩增片段大小（bp）</w:t>
            </w:r>
          </w:p>
        </w:tc>
      </w:tr>
      <w:tr w14:paraId="0086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41" w:type="dxa"/>
            <w:vAlign w:val="center"/>
          </w:tcPr>
          <w:p w14:paraId="32B7B1B6">
            <w:pPr>
              <w:jc w:val="center"/>
              <w:rPr>
                <w:rFonts w:hint="default" w:ascii="Times New Roman" w:hAnsi="Times New Roman" w:eastAsia="宋体" w:cs="Times New Roman"/>
                <w:b w:val="0"/>
                <w:bCs/>
                <w:color w:val="auto"/>
                <w:kern w:val="2"/>
                <w:sz w:val="18"/>
                <w:szCs w:val="18"/>
                <w:u w:val="none"/>
                <w:lang w:val="en-US" w:eastAsia="zh-CN" w:bidi="ar-SA"/>
              </w:rPr>
            </w:pPr>
            <w:r>
              <w:rPr>
                <w:rFonts w:hint="default" w:ascii="Times New Roman" w:hAnsi="Times New Roman" w:eastAsia="宋体" w:cs="Times New Roman"/>
                <w:b w:val="0"/>
                <w:bCs/>
                <w:color w:val="auto"/>
                <w:kern w:val="2"/>
                <w:sz w:val="18"/>
                <w:szCs w:val="18"/>
                <w:u w:val="none"/>
                <w:lang w:val="en-US" w:eastAsia="zh-CN" w:bidi="ar-SA"/>
              </w:rPr>
              <w:t>1</w:t>
            </w:r>
          </w:p>
        </w:tc>
        <w:tc>
          <w:tcPr>
            <w:tcW w:w="4520" w:type="dxa"/>
          </w:tcPr>
          <w:p w14:paraId="5C679A59">
            <w:pPr>
              <w:spacing w:line="240" w:lineRule="auto"/>
              <w:rPr>
                <w:rFonts w:hint="eastAsia"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w:t>
            </w:r>
            <w:r>
              <w:rPr>
                <w:rFonts w:hint="default" w:ascii="Times New Roman" w:hAnsi="Times New Roman" w:eastAsia="宋体" w:cs="Times New Roman"/>
                <w:b w:val="0"/>
                <w:bCs/>
                <w:color w:val="auto"/>
                <w:sz w:val="18"/>
                <w:szCs w:val="18"/>
                <w:u w:val="none"/>
                <w:lang w:val="en-US" w:eastAsia="zh-CN"/>
              </w:rPr>
              <w:t>1:</w:t>
            </w:r>
            <w:r>
              <w:rPr>
                <w:rFonts w:hint="eastAsia" w:ascii="Times New Roman" w:hAnsi="Times New Roman" w:cs="Times New Roman"/>
                <w:b w:val="0"/>
                <w:bCs w:val="0"/>
                <w:color w:val="auto"/>
                <w:sz w:val="18"/>
                <w:szCs w:val="18"/>
                <w:highlight w:val="none"/>
                <w:vertAlign w:val="baseline"/>
                <w:lang w:val="en-US" w:eastAsia="zh-CN"/>
              </w:rPr>
              <w:t>TTAGCAGCTTGAGCTTGGATCAG</w:t>
            </w:r>
          </w:p>
          <w:p w14:paraId="558246CB">
            <w:pPr>
              <w:spacing w:line="240" w:lineRule="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w:t>
            </w:r>
            <w:r>
              <w:rPr>
                <w:rFonts w:hint="default" w:ascii="Times New Roman" w:hAnsi="Times New Roman" w:eastAsia="宋体" w:cs="Times New Roman"/>
                <w:b w:val="0"/>
                <w:bCs/>
                <w:color w:val="auto"/>
                <w:sz w:val="18"/>
                <w:szCs w:val="18"/>
                <w:u w:val="none"/>
                <w:lang w:val="en-US" w:eastAsia="zh-CN"/>
              </w:rPr>
              <w:t>1:</w:t>
            </w:r>
            <w:r>
              <w:rPr>
                <w:rFonts w:hint="eastAsia" w:ascii="Times New Roman" w:hAnsi="Times New Roman" w:cs="Times New Roman"/>
                <w:b w:val="0"/>
                <w:bCs w:val="0"/>
                <w:color w:val="auto"/>
                <w:sz w:val="18"/>
                <w:szCs w:val="18"/>
                <w:highlight w:val="none"/>
                <w:vertAlign w:val="baseline"/>
                <w:lang w:val="en-US" w:eastAsia="zh-CN"/>
              </w:rPr>
              <w:t>CGAATCTAACGCAACTTGAATGG</w:t>
            </w:r>
          </w:p>
        </w:tc>
        <w:tc>
          <w:tcPr>
            <w:tcW w:w="1734" w:type="dxa"/>
            <w:vMerge w:val="restart"/>
            <w:vAlign w:val="center"/>
          </w:tcPr>
          <w:p w14:paraId="793F5125">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QP1</w:t>
            </w:r>
            <w:r>
              <w:rPr>
                <w:rFonts w:hint="default" w:ascii="Times New Roman" w:hAnsi="Times New Roman" w:eastAsia="宋体" w:cs="Times New Roman"/>
                <w:b w:val="0"/>
                <w:bCs/>
                <w:kern w:val="2"/>
                <w:sz w:val="18"/>
                <w:szCs w:val="18"/>
                <w:highlight w:val="none"/>
                <w:lang w:val="en-US" w:eastAsia="zh-CN" w:bidi="ar-SA"/>
              </w:rPr>
              <w:t>:</w:t>
            </w:r>
            <w:r>
              <w:rPr>
                <w:rFonts w:hint="eastAsia" w:ascii="Times New Roman" w:hAnsi="Times New Roman" w:eastAsia="宋体" w:cs="Times New Roman"/>
                <w:b w:val="0"/>
                <w:bCs/>
                <w:kern w:val="2"/>
                <w:sz w:val="18"/>
                <w:szCs w:val="18"/>
                <w:highlight w:val="none"/>
                <w:lang w:val="en-US" w:eastAsia="zh-CN" w:bidi="ar-SA"/>
              </w:rPr>
              <w:t>AAACTGAAGGCGGGAAACGACAAT</w:t>
            </w:r>
          </w:p>
        </w:tc>
        <w:tc>
          <w:tcPr>
            <w:tcW w:w="1488" w:type="dxa"/>
            <w:vAlign w:val="center"/>
          </w:tcPr>
          <w:p w14:paraId="430846BC">
            <w:pPr>
              <w:jc w:val="center"/>
              <w:rPr>
                <w:rFonts w:hint="default" w:ascii="Times New Roman" w:hAnsi="Times New Roman" w:eastAsia="宋体" w:cs="Times New Roman"/>
                <w:b w:val="0"/>
                <w:bCs/>
                <w:kern w:val="2"/>
                <w:sz w:val="18"/>
                <w:szCs w:val="18"/>
                <w:lang w:val="en-US" w:eastAsia="zh-CN" w:bidi="ar-SA"/>
              </w:rPr>
            </w:pPr>
            <w:r>
              <w:rPr>
                <w:rFonts w:hint="default" w:ascii="Times New Roman" w:hAnsi="Times New Roman" w:eastAsia="宋体" w:cs="Times New Roman"/>
                <w:b w:val="0"/>
                <w:bCs/>
                <w:kern w:val="2"/>
                <w:sz w:val="18"/>
                <w:szCs w:val="18"/>
                <w:lang w:val="en-US" w:eastAsia="zh-CN" w:bidi="ar-SA"/>
              </w:rPr>
              <w:t>1</w:t>
            </w:r>
            <w:r>
              <w:rPr>
                <w:rFonts w:hint="eastAsia" w:cs="Times New Roman"/>
                <w:b w:val="0"/>
                <w:bCs/>
                <w:kern w:val="2"/>
                <w:sz w:val="18"/>
                <w:szCs w:val="18"/>
                <w:lang w:val="en-US" w:eastAsia="zh-CN" w:bidi="ar-SA"/>
              </w:rPr>
              <w:t>3</w:t>
            </w:r>
            <w:r>
              <w:rPr>
                <w:rFonts w:hint="default" w:ascii="Times New Roman" w:hAnsi="Times New Roman" w:eastAsia="宋体" w:cs="Times New Roman"/>
                <w:b w:val="0"/>
                <w:bCs/>
                <w:kern w:val="2"/>
                <w:sz w:val="18"/>
                <w:szCs w:val="18"/>
                <w:lang w:val="en-US" w:eastAsia="zh-CN" w:bidi="ar-SA"/>
              </w:rPr>
              <w:t>7</w:t>
            </w:r>
          </w:p>
        </w:tc>
      </w:tr>
      <w:tr w14:paraId="5CF7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1" w:type="dxa"/>
            <w:vAlign w:val="center"/>
          </w:tcPr>
          <w:p w14:paraId="45B035BA">
            <w:pPr>
              <w:jc w:val="center"/>
              <w:rPr>
                <w:rFonts w:hint="default" w:ascii="Times New Roman" w:hAnsi="Times New Roman" w:eastAsia="宋体" w:cs="Times New Roman"/>
                <w:b w:val="0"/>
                <w:bCs/>
                <w:color w:val="auto"/>
                <w:sz w:val="18"/>
                <w:szCs w:val="18"/>
                <w:u w:val="none"/>
                <w:lang w:val="en-US" w:eastAsia="zh-CN"/>
              </w:rPr>
            </w:pPr>
            <w:r>
              <w:rPr>
                <w:rFonts w:hint="default" w:ascii="Times New Roman" w:hAnsi="Times New Roman" w:eastAsia="宋体" w:cs="Times New Roman"/>
                <w:b w:val="0"/>
                <w:bCs/>
                <w:color w:val="auto"/>
                <w:sz w:val="18"/>
                <w:szCs w:val="18"/>
                <w:u w:val="none"/>
                <w:lang w:val="en-US" w:eastAsia="zh-CN"/>
              </w:rPr>
              <w:t>2</w:t>
            </w:r>
          </w:p>
        </w:tc>
        <w:tc>
          <w:tcPr>
            <w:tcW w:w="4520" w:type="dxa"/>
          </w:tcPr>
          <w:p w14:paraId="1151CB4C">
            <w:pPr>
              <w:spacing w:line="240" w:lineRule="auto"/>
              <w:rPr>
                <w:rFonts w:hint="eastAsia"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F1</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TTAGCAGCTTGAGCTTGGATCAG</w:t>
            </w:r>
          </w:p>
          <w:p w14:paraId="0AAD86F3">
            <w:pPr>
              <w:spacing w:line="240" w:lineRule="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w:t>
            </w:r>
            <w:r>
              <w:rPr>
                <w:rFonts w:hint="default" w:ascii="Times New Roman" w:hAnsi="Times New Roman" w:eastAsia="宋体" w:cs="Times New Roman"/>
                <w:b w:val="0"/>
                <w:bCs/>
                <w:color w:val="auto"/>
                <w:sz w:val="18"/>
                <w:szCs w:val="18"/>
                <w:u w:val="none"/>
                <w:lang w:val="en-US" w:eastAsia="zh-CN"/>
              </w:rPr>
              <w:t>2:</w:t>
            </w:r>
            <w:r>
              <w:rPr>
                <w:rFonts w:hint="eastAsia" w:ascii="Times New Roman" w:hAnsi="Times New Roman" w:cs="Times New Roman"/>
                <w:b w:val="0"/>
                <w:bCs w:val="0"/>
                <w:color w:val="auto"/>
                <w:sz w:val="18"/>
                <w:szCs w:val="18"/>
                <w:highlight w:val="none"/>
                <w:vertAlign w:val="baseline"/>
                <w:lang w:val="en-US" w:eastAsia="zh-CN"/>
              </w:rPr>
              <w:t>TTAAAACGCAAAACTTATGAATGTT</w:t>
            </w:r>
          </w:p>
        </w:tc>
        <w:tc>
          <w:tcPr>
            <w:tcW w:w="1734" w:type="dxa"/>
            <w:vMerge w:val="continue"/>
            <w:vAlign w:val="center"/>
          </w:tcPr>
          <w:p w14:paraId="43B63BD2">
            <w:pPr>
              <w:jc w:val="left"/>
              <w:rPr>
                <w:rFonts w:hint="default" w:ascii="Times New Roman" w:hAnsi="Times New Roman" w:eastAsia="宋体" w:cs="Times New Roman"/>
                <w:sz w:val="18"/>
                <w:szCs w:val="18"/>
                <w:lang w:val="en-US" w:eastAsia="zh-CN"/>
              </w:rPr>
            </w:pPr>
          </w:p>
        </w:tc>
        <w:tc>
          <w:tcPr>
            <w:tcW w:w="1488" w:type="dxa"/>
            <w:vAlign w:val="center"/>
          </w:tcPr>
          <w:p w14:paraId="55FCDA60">
            <w:pPr>
              <w:jc w:val="center"/>
              <w:rPr>
                <w:rFonts w:hint="default" w:ascii="Times New Roman" w:hAnsi="Times New Roman" w:eastAsia="宋体" w:cs="Times New Roman"/>
                <w:b w:val="0"/>
                <w:bCs/>
                <w:sz w:val="18"/>
                <w:szCs w:val="18"/>
                <w:vertAlign w:val="baseline"/>
                <w:lang w:val="en-US" w:eastAsia="zh-CN"/>
              </w:rPr>
            </w:pPr>
            <w:r>
              <w:rPr>
                <w:rFonts w:hint="eastAsia" w:cs="Times New Roman"/>
                <w:b w:val="0"/>
                <w:bCs/>
                <w:sz w:val="18"/>
                <w:szCs w:val="18"/>
                <w:vertAlign w:val="baseline"/>
                <w:lang w:val="en-US" w:eastAsia="zh-CN"/>
              </w:rPr>
              <w:t>102</w:t>
            </w:r>
          </w:p>
        </w:tc>
      </w:tr>
      <w:tr w14:paraId="36E4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1" w:type="dxa"/>
            <w:vAlign w:val="center"/>
          </w:tcPr>
          <w:p w14:paraId="6269B777">
            <w:pPr>
              <w:jc w:val="center"/>
              <w:rPr>
                <w:rFonts w:hint="default" w:ascii="Times New Roman" w:hAnsi="Times New Roman" w:eastAsia="宋体" w:cs="Times New Roman"/>
                <w:b w:val="0"/>
                <w:bCs/>
                <w:color w:val="auto"/>
                <w:kern w:val="2"/>
                <w:sz w:val="18"/>
                <w:szCs w:val="18"/>
                <w:highlight w:val="none"/>
                <w:u w:val="none"/>
                <w:lang w:val="en-US" w:eastAsia="zh-CN" w:bidi="ar-SA"/>
              </w:rPr>
            </w:pPr>
            <w:r>
              <w:rPr>
                <w:rFonts w:hint="default" w:ascii="Times New Roman" w:hAnsi="Times New Roman" w:eastAsia="宋体" w:cs="Times New Roman"/>
                <w:b w:val="0"/>
                <w:bCs/>
                <w:color w:val="auto"/>
                <w:kern w:val="2"/>
                <w:sz w:val="18"/>
                <w:szCs w:val="18"/>
                <w:highlight w:val="none"/>
                <w:u w:val="none"/>
                <w:lang w:val="en-US" w:eastAsia="zh-CN" w:bidi="ar-SA"/>
              </w:rPr>
              <w:t>3</w:t>
            </w:r>
          </w:p>
        </w:tc>
        <w:tc>
          <w:tcPr>
            <w:tcW w:w="4520" w:type="dxa"/>
          </w:tcPr>
          <w:p w14:paraId="0DD02303">
            <w:pPr>
              <w:spacing w:line="240" w:lineRule="auto"/>
              <w:jc w:val="left"/>
              <w:rPr>
                <w:rFonts w:hint="eastAsia"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F2</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TCCGCCTTGACCCGAATA</w:t>
            </w:r>
          </w:p>
          <w:p w14:paraId="1A33C396">
            <w:pPr>
              <w:spacing w:line="240" w:lineRule="auto"/>
              <w:jc w:val="left"/>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R2</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TTAAAACGCAAAACTTATGAATGTT</w:t>
            </w:r>
          </w:p>
        </w:tc>
        <w:tc>
          <w:tcPr>
            <w:tcW w:w="1734" w:type="dxa"/>
            <w:vMerge w:val="continue"/>
            <w:vAlign w:val="center"/>
          </w:tcPr>
          <w:p w14:paraId="29A26D82">
            <w:pPr>
              <w:jc w:val="left"/>
              <w:rPr>
                <w:rFonts w:hint="default" w:ascii="Times New Roman" w:hAnsi="Times New Roman" w:eastAsia="宋体" w:cs="Times New Roman"/>
                <w:sz w:val="18"/>
                <w:szCs w:val="18"/>
                <w:lang w:val="en-US" w:eastAsia="zh-CN"/>
              </w:rPr>
            </w:pPr>
          </w:p>
        </w:tc>
        <w:tc>
          <w:tcPr>
            <w:tcW w:w="1488" w:type="dxa"/>
            <w:vAlign w:val="center"/>
          </w:tcPr>
          <w:p w14:paraId="7CB7C639">
            <w:pPr>
              <w:jc w:val="center"/>
              <w:rPr>
                <w:rFonts w:hint="default" w:ascii="Times New Roman" w:hAnsi="Times New Roman" w:eastAsia="宋体" w:cs="Times New Roman"/>
                <w:b w:val="0"/>
                <w:bCs/>
                <w:kern w:val="2"/>
                <w:sz w:val="18"/>
                <w:szCs w:val="18"/>
                <w:highlight w:val="none"/>
                <w:lang w:val="en-US" w:eastAsia="zh-CN" w:bidi="ar-SA"/>
              </w:rPr>
            </w:pPr>
            <w:r>
              <w:rPr>
                <w:rFonts w:hint="default" w:ascii="Times New Roman" w:hAnsi="Times New Roman" w:eastAsia="宋体" w:cs="Times New Roman"/>
                <w:b w:val="0"/>
                <w:bCs/>
                <w:kern w:val="2"/>
                <w:sz w:val="18"/>
                <w:szCs w:val="18"/>
                <w:highlight w:val="none"/>
                <w:lang w:val="en-US" w:eastAsia="zh-CN" w:bidi="ar-SA"/>
              </w:rPr>
              <w:t>1</w:t>
            </w:r>
            <w:r>
              <w:rPr>
                <w:rFonts w:hint="eastAsia" w:cs="Times New Roman"/>
                <w:b w:val="0"/>
                <w:bCs/>
                <w:kern w:val="2"/>
                <w:sz w:val="18"/>
                <w:szCs w:val="18"/>
                <w:highlight w:val="none"/>
                <w:lang w:val="en-US" w:eastAsia="zh-CN" w:bidi="ar-SA"/>
              </w:rPr>
              <w:t>2</w:t>
            </w:r>
            <w:r>
              <w:rPr>
                <w:rFonts w:hint="default" w:ascii="Times New Roman" w:hAnsi="Times New Roman" w:eastAsia="宋体" w:cs="Times New Roman"/>
                <w:b w:val="0"/>
                <w:bCs/>
                <w:kern w:val="2"/>
                <w:sz w:val="18"/>
                <w:szCs w:val="18"/>
                <w:highlight w:val="none"/>
                <w:lang w:val="en-US" w:eastAsia="zh-CN" w:bidi="ar-SA"/>
              </w:rPr>
              <w:t>3</w:t>
            </w:r>
          </w:p>
        </w:tc>
      </w:tr>
      <w:tr w14:paraId="2A56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1" w:type="dxa"/>
            <w:vAlign w:val="center"/>
          </w:tcPr>
          <w:p w14:paraId="5BF68517">
            <w:pPr>
              <w:jc w:val="center"/>
              <w:rPr>
                <w:rFonts w:hint="default" w:ascii="Times New Roman" w:hAnsi="Times New Roman" w:eastAsia="宋体" w:cs="Times New Roman"/>
                <w:b w:val="0"/>
                <w:bCs/>
                <w:color w:val="auto"/>
                <w:sz w:val="18"/>
                <w:szCs w:val="18"/>
                <w:u w:val="none"/>
                <w:lang w:val="en-US" w:eastAsia="zh-CN"/>
              </w:rPr>
            </w:pPr>
            <w:r>
              <w:rPr>
                <w:rFonts w:hint="default" w:ascii="Times New Roman" w:hAnsi="Times New Roman" w:eastAsia="宋体" w:cs="Times New Roman"/>
                <w:b w:val="0"/>
                <w:bCs/>
                <w:color w:val="auto"/>
                <w:sz w:val="18"/>
                <w:szCs w:val="18"/>
                <w:u w:val="none"/>
                <w:lang w:val="en-US" w:eastAsia="zh-CN"/>
              </w:rPr>
              <w:t>4</w:t>
            </w:r>
          </w:p>
        </w:tc>
        <w:tc>
          <w:tcPr>
            <w:tcW w:w="4520" w:type="dxa"/>
          </w:tcPr>
          <w:p w14:paraId="1E781890">
            <w:pPr>
              <w:spacing w:line="240" w:lineRule="auto"/>
              <w:rPr>
                <w:rFonts w:hint="default" w:ascii="Times New Roman" w:hAnsi="Times New Roman" w:eastAsia="宋体" w:cs="Times New Roman"/>
                <w:b w:val="0"/>
                <w:bCs/>
                <w:color w:val="auto"/>
                <w:sz w:val="18"/>
                <w:szCs w:val="18"/>
                <w:u w:val="no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F3</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color w:val="auto"/>
                <w:sz w:val="18"/>
                <w:szCs w:val="18"/>
                <w:highlight w:val="none"/>
                <w:vertAlign w:val="baseline"/>
                <w:lang w:val="en-US" w:eastAsia="zh-CN"/>
              </w:rPr>
              <w:t>GCTGGCTTCCGCCTTGAC</w:t>
            </w:r>
          </w:p>
          <w:p w14:paraId="0525BB07">
            <w:pPr>
              <w:spacing w:line="240" w:lineRule="auto"/>
              <w:rPr>
                <w:rFonts w:hint="default" w:ascii="Times New Roman" w:hAnsi="Times New Roman" w:eastAsia="宋体" w:cs="Times New Roman"/>
                <w:b w:val="0"/>
                <w:bCs/>
                <w:color w:val="auto"/>
                <w:sz w:val="18"/>
                <w:szCs w:val="18"/>
                <w:u w:val="none"/>
                <w:vertAlign w:val="baseline"/>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R2</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color w:val="auto"/>
                <w:sz w:val="18"/>
                <w:szCs w:val="18"/>
                <w:highlight w:val="none"/>
                <w:vertAlign w:val="baseline"/>
                <w:lang w:val="en-US" w:eastAsia="zh-CN"/>
              </w:rPr>
              <w:t>TTAAAACGCAAAACTTATGAATGTT</w:t>
            </w:r>
          </w:p>
        </w:tc>
        <w:tc>
          <w:tcPr>
            <w:tcW w:w="1734" w:type="dxa"/>
            <w:vMerge w:val="continue"/>
            <w:vAlign w:val="center"/>
          </w:tcPr>
          <w:p w14:paraId="3BDCF15B">
            <w:pPr>
              <w:jc w:val="left"/>
              <w:rPr>
                <w:rFonts w:hint="default" w:ascii="Times New Roman" w:hAnsi="Times New Roman" w:eastAsia="宋体" w:cs="Times New Roman"/>
                <w:sz w:val="18"/>
                <w:szCs w:val="18"/>
                <w:lang w:val="en-US" w:eastAsia="zh-CN"/>
              </w:rPr>
            </w:pPr>
          </w:p>
        </w:tc>
        <w:tc>
          <w:tcPr>
            <w:tcW w:w="1488" w:type="dxa"/>
            <w:vAlign w:val="center"/>
          </w:tcPr>
          <w:p w14:paraId="49FF88BD">
            <w:pPr>
              <w:jc w:val="center"/>
              <w:rPr>
                <w:rFonts w:hint="default" w:ascii="Times New Roman" w:hAnsi="Times New Roman" w:eastAsia="宋体" w:cs="Times New Roman"/>
                <w:b w:val="0"/>
                <w:bCs/>
                <w:sz w:val="18"/>
                <w:szCs w:val="18"/>
                <w:vertAlign w:val="baseline"/>
                <w:lang w:val="en-US" w:eastAsia="zh-CN"/>
              </w:rPr>
            </w:pPr>
            <w:r>
              <w:rPr>
                <w:rFonts w:hint="default" w:ascii="Times New Roman" w:hAnsi="Times New Roman" w:eastAsia="宋体" w:cs="Times New Roman"/>
                <w:b w:val="0"/>
                <w:bCs/>
                <w:sz w:val="18"/>
                <w:szCs w:val="18"/>
                <w:vertAlign w:val="baseline"/>
                <w:lang w:val="en-US" w:eastAsia="zh-CN"/>
              </w:rPr>
              <w:t>1</w:t>
            </w:r>
            <w:r>
              <w:rPr>
                <w:rFonts w:hint="eastAsia" w:cs="Times New Roman"/>
                <w:b w:val="0"/>
                <w:bCs/>
                <w:sz w:val="18"/>
                <w:szCs w:val="18"/>
                <w:vertAlign w:val="baseline"/>
                <w:lang w:val="en-US" w:eastAsia="zh-CN"/>
              </w:rPr>
              <w:t>30</w:t>
            </w:r>
          </w:p>
        </w:tc>
      </w:tr>
      <w:tr w14:paraId="41EC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1" w:type="dxa"/>
            <w:vAlign w:val="center"/>
          </w:tcPr>
          <w:p w14:paraId="47615EDA">
            <w:pPr>
              <w:jc w:val="center"/>
              <w:rPr>
                <w:rFonts w:hint="default" w:ascii="Times New Roman" w:hAnsi="Times New Roman" w:eastAsia="宋体" w:cs="Times New Roman"/>
                <w:b w:val="0"/>
                <w:bCs/>
                <w:color w:val="auto"/>
                <w:kern w:val="2"/>
                <w:sz w:val="18"/>
                <w:szCs w:val="18"/>
                <w:u w:val="none"/>
                <w:lang w:val="en-US" w:eastAsia="zh-CN" w:bidi="ar-SA"/>
              </w:rPr>
            </w:pPr>
            <w:r>
              <w:rPr>
                <w:rFonts w:hint="default" w:ascii="Times New Roman" w:hAnsi="Times New Roman" w:eastAsia="宋体" w:cs="Times New Roman"/>
                <w:b w:val="0"/>
                <w:bCs/>
                <w:color w:val="auto"/>
                <w:kern w:val="2"/>
                <w:sz w:val="18"/>
                <w:szCs w:val="18"/>
                <w:u w:val="none"/>
                <w:lang w:val="en-US" w:eastAsia="zh-CN" w:bidi="ar-SA"/>
              </w:rPr>
              <w:t>5</w:t>
            </w:r>
          </w:p>
        </w:tc>
        <w:tc>
          <w:tcPr>
            <w:tcW w:w="4520" w:type="dxa"/>
            <w:shd w:val="clear" w:color="auto" w:fill="auto"/>
            <w:vAlign w:val="top"/>
          </w:tcPr>
          <w:p w14:paraId="39494533">
            <w:pPr>
              <w:spacing w:line="240" w:lineRule="auto"/>
              <w:rPr>
                <w:rFonts w:hint="default" w:ascii="Times New Roman" w:hAnsi="Times New Roman" w:eastAsia="宋体" w:cs="Times New Roman"/>
                <w:b w:val="0"/>
                <w:bCs/>
                <w:color w:val="auto"/>
                <w:sz w:val="18"/>
                <w:szCs w:val="18"/>
                <w:u w:val="no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F1</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color w:val="auto"/>
                <w:sz w:val="18"/>
                <w:szCs w:val="18"/>
                <w:highlight w:val="none"/>
                <w:vertAlign w:val="baseline"/>
                <w:lang w:val="en-US" w:eastAsia="zh-CN"/>
              </w:rPr>
              <w:t>TTAGCAGCTTGAGCTTGGATCAG</w:t>
            </w:r>
          </w:p>
          <w:p w14:paraId="7DE45070">
            <w:pPr>
              <w:spacing w:line="240" w:lineRule="auto"/>
              <w:rPr>
                <w:rFonts w:hint="default" w:ascii="Times New Roman" w:hAnsi="Times New Roman" w:eastAsia="宋体" w:cs="Times New Roman"/>
                <w:b w:val="0"/>
                <w:bCs/>
                <w:color w:val="auto"/>
                <w:kern w:val="2"/>
                <w:sz w:val="18"/>
                <w:szCs w:val="18"/>
                <w:u w:val="none"/>
                <w:vertAlign w:val="baseline"/>
                <w:lang w:val="en-US" w:eastAsia="zh-CN" w:bidi="ar-SA"/>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R3</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color w:val="auto"/>
                <w:sz w:val="18"/>
                <w:szCs w:val="18"/>
                <w:highlight w:val="none"/>
                <w:vertAlign w:val="baseline"/>
                <w:lang w:val="en-US" w:eastAsia="zh-CN"/>
              </w:rPr>
              <w:t>ATGTTTTAAACCATACTGTAATTCG</w:t>
            </w:r>
          </w:p>
        </w:tc>
        <w:tc>
          <w:tcPr>
            <w:tcW w:w="1734" w:type="dxa"/>
            <w:vMerge w:val="continue"/>
            <w:vAlign w:val="center"/>
          </w:tcPr>
          <w:p w14:paraId="185F6978">
            <w:pPr>
              <w:jc w:val="left"/>
              <w:rPr>
                <w:rFonts w:hint="default" w:ascii="Times New Roman" w:hAnsi="Times New Roman" w:eastAsia="宋体" w:cs="Times New Roman"/>
                <w:b w:val="0"/>
                <w:bCs/>
                <w:sz w:val="18"/>
                <w:szCs w:val="18"/>
                <w:lang w:val="en-US" w:eastAsia="zh-CN"/>
              </w:rPr>
            </w:pPr>
          </w:p>
        </w:tc>
        <w:tc>
          <w:tcPr>
            <w:tcW w:w="1488" w:type="dxa"/>
            <w:vAlign w:val="center"/>
          </w:tcPr>
          <w:p w14:paraId="2770E3F7">
            <w:pPr>
              <w:jc w:val="center"/>
              <w:rPr>
                <w:rFonts w:hint="default" w:ascii="Times New Roman" w:hAnsi="Times New Roman" w:eastAsia="宋体" w:cs="Times New Roman"/>
                <w:b w:val="0"/>
                <w:bCs/>
                <w:kern w:val="2"/>
                <w:sz w:val="18"/>
                <w:szCs w:val="18"/>
                <w:lang w:val="en-US" w:eastAsia="zh-CN" w:bidi="ar-SA"/>
              </w:rPr>
            </w:pPr>
            <w:r>
              <w:rPr>
                <w:rFonts w:hint="eastAsia" w:cs="Times New Roman"/>
                <w:b w:val="0"/>
                <w:bCs/>
                <w:kern w:val="2"/>
                <w:sz w:val="18"/>
                <w:szCs w:val="18"/>
                <w:lang w:val="en-US" w:eastAsia="zh-CN" w:bidi="ar-SA"/>
              </w:rPr>
              <w:t>82</w:t>
            </w:r>
          </w:p>
        </w:tc>
      </w:tr>
      <w:tr w14:paraId="4ED2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1" w:type="dxa"/>
            <w:vAlign w:val="center"/>
          </w:tcPr>
          <w:p w14:paraId="5AA84A0A">
            <w:pPr>
              <w:jc w:val="center"/>
              <w:rPr>
                <w:rFonts w:hint="default" w:ascii="Times New Roman" w:hAnsi="Times New Roman" w:eastAsia="宋体" w:cs="Times New Roman"/>
                <w:b w:val="0"/>
                <w:bCs/>
                <w:color w:val="auto"/>
                <w:sz w:val="18"/>
                <w:szCs w:val="18"/>
                <w:u w:val="none"/>
                <w:lang w:val="en-US" w:eastAsia="zh-CN"/>
              </w:rPr>
            </w:pPr>
            <w:r>
              <w:rPr>
                <w:rFonts w:hint="default" w:ascii="Times New Roman" w:hAnsi="Times New Roman" w:eastAsia="宋体" w:cs="Times New Roman"/>
                <w:b w:val="0"/>
                <w:bCs/>
                <w:color w:val="auto"/>
                <w:sz w:val="18"/>
                <w:szCs w:val="18"/>
                <w:u w:val="none"/>
                <w:lang w:val="en-US" w:eastAsia="zh-CN"/>
              </w:rPr>
              <w:t>6</w:t>
            </w:r>
          </w:p>
        </w:tc>
        <w:tc>
          <w:tcPr>
            <w:tcW w:w="4520" w:type="dxa"/>
            <w:shd w:val="clear" w:color="auto" w:fill="auto"/>
            <w:vAlign w:val="top"/>
          </w:tcPr>
          <w:p w14:paraId="6E241ACD">
            <w:pPr>
              <w:spacing w:line="240" w:lineRule="auto"/>
              <w:rPr>
                <w:rFonts w:hint="default" w:ascii="Times New Roman" w:hAnsi="Times New Roman" w:eastAsia="宋体" w:cs="Times New Roman"/>
                <w:b w:val="0"/>
                <w:bCs/>
                <w:color w:val="auto"/>
                <w:sz w:val="18"/>
                <w:szCs w:val="18"/>
                <w:u w:val="no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F2</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TCCGCCTTGACCCGAATA</w:t>
            </w:r>
          </w:p>
          <w:p w14:paraId="0EE93219">
            <w:pPr>
              <w:spacing w:line="240" w:lineRule="auto"/>
              <w:rPr>
                <w:rFonts w:hint="default" w:ascii="Times New Roman" w:hAnsi="Times New Roman" w:eastAsia="宋体" w:cs="Times New Roman"/>
                <w:b w:val="0"/>
                <w:bCs/>
                <w:color w:val="auto"/>
                <w:kern w:val="2"/>
                <w:sz w:val="18"/>
                <w:szCs w:val="18"/>
                <w:u w:val="none"/>
                <w:vertAlign w:val="baseline"/>
                <w:lang w:val="en-US" w:eastAsia="zh-CN" w:bidi="ar-SA"/>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R3</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ATGTTTTAAACCATACTGTAATTCG</w:t>
            </w:r>
          </w:p>
        </w:tc>
        <w:tc>
          <w:tcPr>
            <w:tcW w:w="1734" w:type="dxa"/>
            <w:vMerge w:val="continue"/>
            <w:vAlign w:val="center"/>
          </w:tcPr>
          <w:p w14:paraId="53047520">
            <w:pPr>
              <w:jc w:val="center"/>
              <w:rPr>
                <w:rFonts w:hint="default" w:ascii="Times New Roman" w:hAnsi="Times New Roman" w:eastAsia="宋体" w:cs="Times New Roman"/>
                <w:b w:val="0"/>
                <w:bCs/>
                <w:sz w:val="18"/>
                <w:szCs w:val="18"/>
                <w:vertAlign w:val="baseline"/>
              </w:rPr>
            </w:pPr>
          </w:p>
        </w:tc>
        <w:tc>
          <w:tcPr>
            <w:tcW w:w="1488" w:type="dxa"/>
            <w:vAlign w:val="center"/>
          </w:tcPr>
          <w:p w14:paraId="130964ED">
            <w:pPr>
              <w:jc w:val="center"/>
              <w:rPr>
                <w:rFonts w:hint="default" w:ascii="Times New Roman" w:hAnsi="Times New Roman" w:eastAsia="宋体" w:cs="Times New Roman"/>
                <w:b w:val="0"/>
                <w:bCs/>
                <w:sz w:val="18"/>
                <w:szCs w:val="18"/>
                <w:vertAlign w:val="baseline"/>
                <w:lang w:val="en-US" w:eastAsia="zh-CN"/>
              </w:rPr>
            </w:pPr>
            <w:r>
              <w:rPr>
                <w:rFonts w:hint="default" w:ascii="Times New Roman" w:hAnsi="Times New Roman" w:eastAsia="宋体" w:cs="Times New Roman"/>
                <w:b w:val="0"/>
                <w:bCs/>
                <w:sz w:val="18"/>
                <w:szCs w:val="18"/>
                <w:vertAlign w:val="baseline"/>
                <w:lang w:val="en-US" w:eastAsia="zh-CN"/>
              </w:rPr>
              <w:t>1</w:t>
            </w:r>
            <w:r>
              <w:rPr>
                <w:rFonts w:hint="eastAsia" w:cs="Times New Roman"/>
                <w:b w:val="0"/>
                <w:bCs/>
                <w:sz w:val="18"/>
                <w:szCs w:val="18"/>
                <w:vertAlign w:val="baseline"/>
                <w:lang w:val="en-US" w:eastAsia="zh-CN"/>
              </w:rPr>
              <w:t>03</w:t>
            </w:r>
          </w:p>
        </w:tc>
      </w:tr>
      <w:tr w14:paraId="04CA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1" w:type="dxa"/>
            <w:vAlign w:val="center"/>
          </w:tcPr>
          <w:p w14:paraId="3CD1E10A">
            <w:pPr>
              <w:jc w:val="center"/>
              <w:rPr>
                <w:rFonts w:hint="default" w:ascii="Times New Roman" w:hAnsi="Times New Roman" w:eastAsia="宋体" w:cs="Times New Roman"/>
                <w:b w:val="0"/>
                <w:bCs/>
                <w:color w:val="auto"/>
                <w:kern w:val="2"/>
                <w:sz w:val="18"/>
                <w:szCs w:val="18"/>
                <w:u w:val="none"/>
                <w:lang w:val="en-US" w:eastAsia="zh-CN" w:bidi="ar-SA"/>
              </w:rPr>
            </w:pPr>
            <w:r>
              <w:rPr>
                <w:rFonts w:hint="default" w:ascii="Times New Roman" w:hAnsi="Times New Roman" w:eastAsia="宋体" w:cs="Times New Roman"/>
                <w:b w:val="0"/>
                <w:bCs/>
                <w:color w:val="auto"/>
                <w:kern w:val="2"/>
                <w:sz w:val="18"/>
                <w:szCs w:val="18"/>
                <w:u w:val="none"/>
                <w:lang w:val="en-US" w:eastAsia="zh-CN" w:bidi="ar-SA"/>
              </w:rPr>
              <w:t>7</w:t>
            </w:r>
          </w:p>
        </w:tc>
        <w:tc>
          <w:tcPr>
            <w:tcW w:w="4520" w:type="dxa"/>
          </w:tcPr>
          <w:p w14:paraId="0322D39E">
            <w:pPr>
              <w:spacing w:line="240" w:lineRule="auto"/>
              <w:rPr>
                <w:rFonts w:hint="eastAsia"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F3</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GCTGGCTTCCGCCTTGAC</w:t>
            </w:r>
          </w:p>
          <w:p w14:paraId="2D94359D">
            <w:pPr>
              <w:spacing w:line="240" w:lineRule="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u w:val="none"/>
                <w:lang w:val="en-US" w:eastAsia="zh-CN"/>
              </w:rPr>
              <w:t>Q</w:t>
            </w:r>
            <w:r>
              <w:rPr>
                <w:rFonts w:hint="eastAsia" w:cs="Times New Roman"/>
                <w:b w:val="0"/>
                <w:bCs/>
                <w:color w:val="auto"/>
                <w:sz w:val="18"/>
                <w:szCs w:val="18"/>
                <w:u w:val="none"/>
                <w:lang w:val="en-US" w:eastAsia="zh-CN"/>
              </w:rPr>
              <w:t>R3</w:t>
            </w:r>
            <w:r>
              <w:rPr>
                <w:rFonts w:hint="default" w:ascii="Times New Roman" w:hAnsi="Times New Roman" w:eastAsia="宋体" w:cs="Times New Roman"/>
                <w:b w:val="0"/>
                <w:bCs/>
                <w:color w:val="auto"/>
                <w:sz w:val="18"/>
                <w:szCs w:val="18"/>
                <w:u w:val="none"/>
                <w:lang w:val="en-US" w:eastAsia="zh-CN"/>
              </w:rPr>
              <w:t>:</w:t>
            </w:r>
            <w:r>
              <w:rPr>
                <w:rFonts w:hint="eastAsia" w:ascii="Times New Roman" w:hAnsi="Times New Roman" w:cs="Times New Roman"/>
                <w:b w:val="0"/>
                <w:bCs w:val="0"/>
                <w:color w:val="auto"/>
                <w:sz w:val="18"/>
                <w:szCs w:val="18"/>
                <w:highlight w:val="none"/>
                <w:vertAlign w:val="baseline"/>
                <w:lang w:val="en-US" w:eastAsia="zh-CN"/>
              </w:rPr>
              <w:t>ATGTTTTAAACCATACTGTAATTCG</w:t>
            </w:r>
          </w:p>
        </w:tc>
        <w:tc>
          <w:tcPr>
            <w:tcW w:w="1734" w:type="dxa"/>
            <w:vMerge w:val="continue"/>
            <w:vAlign w:val="center"/>
          </w:tcPr>
          <w:p w14:paraId="404D2ABA">
            <w:pPr>
              <w:jc w:val="center"/>
              <w:rPr>
                <w:rFonts w:hint="default" w:ascii="Times New Roman" w:hAnsi="Times New Roman" w:eastAsia="宋体" w:cs="Times New Roman"/>
                <w:b w:val="0"/>
                <w:bCs/>
                <w:sz w:val="18"/>
                <w:szCs w:val="18"/>
                <w:lang w:val="en-US" w:eastAsia="zh-CN"/>
              </w:rPr>
            </w:pPr>
          </w:p>
        </w:tc>
        <w:tc>
          <w:tcPr>
            <w:tcW w:w="1488" w:type="dxa"/>
            <w:vAlign w:val="center"/>
          </w:tcPr>
          <w:p w14:paraId="5FEAF75C">
            <w:pPr>
              <w:jc w:val="center"/>
              <w:rPr>
                <w:rFonts w:hint="default" w:ascii="Times New Roman" w:hAnsi="Times New Roman" w:eastAsia="宋体" w:cs="Times New Roman"/>
                <w:b w:val="0"/>
                <w:bCs/>
                <w:kern w:val="2"/>
                <w:sz w:val="18"/>
                <w:szCs w:val="18"/>
                <w:lang w:val="en-US" w:eastAsia="zh-CN" w:bidi="ar-SA"/>
              </w:rPr>
            </w:pPr>
            <w:r>
              <w:rPr>
                <w:rFonts w:hint="default" w:ascii="Times New Roman" w:hAnsi="Times New Roman" w:eastAsia="宋体" w:cs="Times New Roman"/>
                <w:b w:val="0"/>
                <w:bCs/>
                <w:kern w:val="2"/>
                <w:sz w:val="18"/>
                <w:szCs w:val="18"/>
                <w:lang w:val="en-US" w:eastAsia="zh-CN" w:bidi="ar-SA"/>
              </w:rPr>
              <w:t>1</w:t>
            </w:r>
            <w:r>
              <w:rPr>
                <w:rFonts w:hint="eastAsia" w:cs="Times New Roman"/>
                <w:b w:val="0"/>
                <w:bCs/>
                <w:kern w:val="2"/>
                <w:sz w:val="18"/>
                <w:szCs w:val="18"/>
                <w:lang w:val="en-US" w:eastAsia="zh-CN" w:bidi="ar-SA"/>
              </w:rPr>
              <w:t>10</w:t>
            </w:r>
          </w:p>
        </w:tc>
      </w:tr>
    </w:tbl>
    <w:p w14:paraId="6EE7404D">
      <w:pPr>
        <w:tabs>
          <w:tab w:val="left" w:pos="3315"/>
        </w:tabs>
        <w:spacing w:line="240" w:lineRule="auto"/>
        <w:ind w:firstLine="360" w:firstLineChars="200"/>
        <w:rPr>
          <w:rFonts w:hint="default" w:ascii="Times New Roman" w:hAnsi="Times New Roman" w:eastAsia="宋体" w:cs="Times New Roman"/>
          <w:sz w:val="18"/>
          <w:szCs w:val="18"/>
          <w:lang w:val="it-IT"/>
        </w:rPr>
      </w:pPr>
      <w:r>
        <w:rPr>
          <w:rFonts w:hint="default" w:ascii="Times New Roman" w:hAnsi="Times New Roman" w:eastAsia="宋体" w:cs="Times New Roman"/>
          <w:sz w:val="18"/>
          <w:szCs w:val="18"/>
          <w:lang w:val="it-IT"/>
        </w:rPr>
        <w:t>注：探针序列5</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it-IT"/>
        </w:rPr>
        <w:t>端标记荧光报告基团（如FAM、HEX等），3</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it-IT"/>
        </w:rPr>
        <w:t>端标记对应的淬灭基团（如TAMRA、BHQ1等）。</w:t>
      </w:r>
    </w:p>
    <w:p w14:paraId="3935876B">
      <w:pPr>
        <w:pStyle w:val="5"/>
        <w:bidi w:val="0"/>
        <w:spacing w:before="50" w:beforeLines="50" w:after="50" w:afterLines="50" w:line="240" w:lineRule="auto"/>
        <w:ind w:firstLine="420" w:firstLineChars="200"/>
        <w:rPr>
          <w:rFonts w:ascii="Times New Roman" w:hAnsi="Times New Roman" w:eastAsia="黑体" w:cs="Calibri"/>
          <w:b w:val="0"/>
        </w:rPr>
      </w:pPr>
      <w:r>
        <w:rPr>
          <w:rFonts w:ascii="Times New Roman" w:hAnsi="Times New Roman" w:eastAsia="黑体" w:cs="Calibri"/>
          <w:b w:val="0"/>
        </w:rPr>
        <w:t>1.2 引物</w:t>
      </w:r>
      <w:r>
        <w:rPr>
          <w:rFonts w:hint="eastAsia" w:ascii="Times New Roman" w:hAnsi="Times New Roman" w:eastAsia="黑体" w:cs="Calibri"/>
          <w:b w:val="0"/>
          <w:lang w:val="en-US" w:eastAsia="zh-CN"/>
        </w:rPr>
        <w:t>和</w:t>
      </w:r>
      <w:r>
        <w:rPr>
          <w:rFonts w:ascii="Times New Roman" w:hAnsi="Times New Roman" w:eastAsia="黑体" w:cs="Calibri"/>
          <w:b w:val="0"/>
        </w:rPr>
        <w:t>探针的筛选</w:t>
      </w:r>
    </w:p>
    <w:p w14:paraId="16ABE248">
      <w:pPr>
        <w:bidi w:val="0"/>
        <w:spacing w:line="312" w:lineRule="auto"/>
        <w:ind w:firstLine="420" w:firstLineChars="200"/>
        <w:rPr>
          <w:rFonts w:ascii="Times New Roman" w:hAnsi="Times New Roman" w:cs="Calibri"/>
          <w:szCs w:val="22"/>
        </w:rPr>
      </w:pPr>
      <w:r>
        <w:rPr>
          <w:rFonts w:ascii="Times New Roman" w:hAnsi="Times New Roman" w:cs="Calibri"/>
          <w:szCs w:val="22"/>
        </w:rPr>
        <w:t>转化体特异性引物和探针筛选的体系和程序，先参考农业部1861号公告</w:t>
      </w:r>
      <w:r>
        <w:rPr>
          <w:rFonts w:hint="eastAsia" w:ascii="Times New Roman" w:hAnsi="Times New Roman" w:cs="Calibri"/>
          <w:szCs w:val="22"/>
          <w:highlight w:val="none"/>
        </w:rPr>
        <w:t>—</w:t>
      </w:r>
      <w:r>
        <w:rPr>
          <w:rFonts w:ascii="Times New Roman" w:hAnsi="Times New Roman" w:cs="Calibri"/>
          <w:szCs w:val="22"/>
        </w:rPr>
        <w:t>3</w:t>
      </w:r>
      <w:r>
        <w:rPr>
          <w:rFonts w:hint="eastAsia" w:ascii="Times New Roman" w:hAnsi="Times New Roman" w:cs="Calibri"/>
          <w:szCs w:val="22"/>
          <w:highlight w:val="none"/>
        </w:rPr>
        <w:t>—</w:t>
      </w:r>
      <w:r>
        <w:rPr>
          <w:rFonts w:ascii="Times New Roman" w:hAnsi="Times New Roman" w:cs="Calibri"/>
          <w:szCs w:val="22"/>
        </w:rPr>
        <w:t>2012《转基因植物及其产品成分检测 玉米内标准基因定性PCR方法》</w:t>
      </w:r>
      <w:r>
        <w:rPr>
          <w:rFonts w:ascii="Times New Roman" w:hAnsi="Times New Roman" w:cs="Calibri"/>
          <w:szCs w:val="22"/>
          <w:vertAlign w:val="superscript"/>
        </w:rPr>
        <w:t>[</w:t>
      </w:r>
      <w:r>
        <w:rPr>
          <w:rFonts w:hint="eastAsia" w:ascii="Times New Roman" w:hAnsi="Times New Roman" w:cs="Calibri"/>
          <w:szCs w:val="22"/>
          <w:vertAlign w:val="superscript"/>
          <w:lang w:val="en-US" w:eastAsia="zh-CN"/>
        </w:rPr>
        <w:t>6</w:t>
      </w:r>
      <w:r>
        <w:rPr>
          <w:rFonts w:ascii="Times New Roman" w:hAnsi="Times New Roman" w:cs="Calibri"/>
          <w:szCs w:val="22"/>
          <w:vertAlign w:val="superscript"/>
        </w:rPr>
        <w:t>]</w:t>
      </w:r>
      <w:r>
        <w:rPr>
          <w:rFonts w:ascii="Times New Roman" w:hAnsi="Times New Roman" w:cs="Calibri"/>
          <w:szCs w:val="22"/>
        </w:rPr>
        <w:t>标准中所述的实时荧光PCR扩增体系和反应条件进行初筛，筛选出适合的引物和探针后，再进行优化。</w:t>
      </w:r>
    </w:p>
    <w:p w14:paraId="73C75169">
      <w:pPr>
        <w:bidi w:val="0"/>
        <w:spacing w:line="312" w:lineRule="auto"/>
        <w:ind w:firstLine="420" w:firstLineChars="200"/>
        <w:rPr>
          <w:rFonts w:ascii="Times New Roman" w:hAnsi="Times New Roman" w:cs="Calibri"/>
          <w:szCs w:val="22"/>
        </w:rPr>
      </w:pPr>
      <w:r>
        <w:rPr>
          <w:rFonts w:ascii="Times New Roman" w:hAnsi="Times New Roman" w:cs="Calibri"/>
          <w:szCs w:val="22"/>
        </w:rPr>
        <w:t>引物探针组合筛选样品设置为空白质控品、阴性质控品（非转基因玉米）、1%的抗虫耐除草剂玉米</w:t>
      </w:r>
      <w:r>
        <w:rPr>
          <w:rFonts w:hint="eastAsia" w:cs="Calibri"/>
          <w:szCs w:val="22"/>
          <w:lang w:eastAsia="zh-CN"/>
        </w:rPr>
        <w:t>QY2569-42</w:t>
      </w:r>
      <w:r>
        <w:rPr>
          <w:rFonts w:ascii="Times New Roman" w:hAnsi="Times New Roman" w:cs="Calibri"/>
          <w:szCs w:val="22"/>
        </w:rPr>
        <w:t>基因组DNA。通过其扩增曲线形状及荧光信号的高低进行比较，选择扩增曲线呈“S”型且荧光信号较高、</w:t>
      </w:r>
      <w:r>
        <w:rPr>
          <w:rFonts w:ascii="Times New Roman" w:hAnsi="Times New Roman" w:cs="Calibri"/>
          <w:i/>
          <w:iCs/>
          <w:szCs w:val="22"/>
        </w:rPr>
        <w:t>Ct</w:t>
      </w:r>
      <w:r>
        <w:rPr>
          <w:rFonts w:ascii="Times New Roman" w:hAnsi="Times New Roman" w:cs="Calibri"/>
          <w:szCs w:val="22"/>
        </w:rPr>
        <w:t>值较小的引物探针组合作为后续试验验证的候选引物。</w:t>
      </w:r>
    </w:p>
    <w:p w14:paraId="1D29AC99">
      <w:pPr>
        <w:tabs>
          <w:tab w:val="left" w:pos="2585"/>
        </w:tabs>
        <w:bidi w:val="0"/>
        <w:jc w:val="center"/>
      </w:pPr>
      <w:r>
        <w:rPr>
          <w:color w:val="auto"/>
          <w:highlight w:val="none"/>
        </w:rPr>
        <w:drawing>
          <wp:inline distT="0" distB="0" distL="114300" distR="114300">
            <wp:extent cx="3566795" cy="1933575"/>
            <wp:effectExtent l="0" t="0" r="1460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3566795" cy="1933575"/>
                    </a:xfrm>
                    <a:prstGeom prst="rect">
                      <a:avLst/>
                    </a:prstGeom>
                    <a:noFill/>
                    <a:ln>
                      <a:noFill/>
                    </a:ln>
                  </pic:spPr>
                </pic:pic>
              </a:graphicData>
            </a:graphic>
          </wp:inline>
        </w:drawing>
      </w:r>
    </w:p>
    <w:p w14:paraId="4A380005">
      <w:pPr>
        <w:pStyle w:val="8"/>
        <w:keepNext/>
        <w:bidi w:val="0"/>
        <w:spacing w:line="240" w:lineRule="auto"/>
        <w:ind w:firstLine="0" w:firstLineChars="0"/>
        <w:jc w:val="center"/>
        <w:rPr>
          <w:rFonts w:ascii="Times New Roman" w:hAnsi="Times New Roman" w:eastAsia="黑体" w:cs="Calibri"/>
          <w:sz w:val="18"/>
          <w:szCs w:val="22"/>
        </w:rPr>
      </w:pPr>
      <w:r>
        <w:rPr>
          <w:rFonts w:ascii="Times New Roman" w:hAnsi="Times New Roman" w:eastAsia="黑体" w:cs="Calibri"/>
          <w:sz w:val="18"/>
          <w:szCs w:val="22"/>
          <w:lang w:val="en-US" w:eastAsia="zh-CN"/>
        </w:rPr>
        <w:t>图</w:t>
      </w:r>
      <w:r>
        <w:rPr>
          <w:rFonts w:hint="eastAsia" w:ascii="Times New Roman" w:hAnsi="Times New Roman" w:eastAsia="黑体" w:cs="Calibri"/>
          <w:sz w:val="18"/>
          <w:szCs w:val="22"/>
          <w:lang w:val="en-US" w:eastAsia="zh-CN"/>
        </w:rPr>
        <w:t>2-4</w:t>
      </w:r>
      <w:r>
        <w:rPr>
          <w:rFonts w:ascii="Times New Roman" w:hAnsi="Times New Roman" w:eastAsia="黑体" w:cs="Calibri"/>
          <w:sz w:val="18"/>
          <w:szCs w:val="22"/>
          <w:lang w:val="en-US" w:eastAsia="zh-CN"/>
        </w:rPr>
        <w:t xml:space="preserve"> </w:t>
      </w:r>
      <w:r>
        <w:rPr>
          <w:rFonts w:hint="eastAsia" w:ascii="Times New Roman" w:hAnsi="Times New Roman" w:eastAsia="黑体" w:cs="Calibri"/>
          <w:sz w:val="18"/>
          <w:szCs w:val="22"/>
          <w:lang w:val="en-US" w:eastAsia="zh-CN"/>
        </w:rPr>
        <w:t>8</w:t>
      </w:r>
      <w:r>
        <w:rPr>
          <w:rFonts w:ascii="Times New Roman" w:hAnsi="Times New Roman" w:eastAsia="黑体" w:cs="Calibri"/>
          <w:sz w:val="18"/>
          <w:szCs w:val="22"/>
          <w:lang w:val="en-US" w:eastAsia="zh-CN"/>
        </w:rPr>
        <w:t>对引物/探针组合实时荧光PCR扩增图</w:t>
      </w:r>
    </w:p>
    <w:p w14:paraId="544AC316">
      <w:pPr>
        <w:pStyle w:val="8"/>
        <w:spacing w:line="312" w:lineRule="auto"/>
        <w:ind w:firstLine="422"/>
        <w:jc w:val="center"/>
        <w:rPr>
          <w:rFonts w:ascii="Times New Roman" w:hAnsi="Times New Roman" w:eastAsia="仿宋"/>
          <w:b/>
          <w:bCs/>
          <w:sz w:val="21"/>
          <w:szCs w:val="21"/>
        </w:rPr>
      </w:pPr>
    </w:p>
    <w:p w14:paraId="153544D3">
      <w:pPr>
        <w:bidi w:val="0"/>
        <w:spacing w:line="312" w:lineRule="auto"/>
        <w:ind w:firstLine="420" w:firstLineChars="200"/>
        <w:rPr>
          <w:rFonts w:ascii="Times New Roman" w:hAnsi="Times New Roman" w:cs="Calibri"/>
          <w:szCs w:val="22"/>
        </w:rPr>
      </w:pPr>
      <w:r>
        <w:rPr>
          <w:rFonts w:ascii="Times New Roman" w:hAnsi="Times New Roman" w:cs="Calibri"/>
          <w:szCs w:val="22"/>
        </w:rPr>
        <w:t>实验结果：结合扩增片段大小</w:t>
      </w:r>
      <w:r>
        <w:rPr>
          <w:rFonts w:hint="eastAsia" w:cs="Calibri"/>
          <w:szCs w:val="22"/>
          <w:lang w:val="en-US" w:eastAsia="zh-CN"/>
        </w:rPr>
        <w:t>及</w:t>
      </w:r>
      <w:r>
        <w:rPr>
          <w:rFonts w:ascii="Times New Roman" w:hAnsi="Times New Roman" w:cs="Calibri"/>
          <w:szCs w:val="22"/>
        </w:rPr>
        <w:t>扩增信号（图</w:t>
      </w:r>
      <w:r>
        <w:rPr>
          <w:rFonts w:hint="eastAsia" w:cs="Calibri"/>
          <w:szCs w:val="22"/>
          <w:lang w:val="en-US" w:eastAsia="zh-CN"/>
        </w:rPr>
        <w:t>2-4</w:t>
      </w:r>
      <w:r>
        <w:rPr>
          <w:rFonts w:ascii="Times New Roman" w:hAnsi="Times New Roman" w:cs="Calibri"/>
          <w:szCs w:val="22"/>
        </w:rPr>
        <w:t>），选择引物组合</w:t>
      </w:r>
      <w:r>
        <w:rPr>
          <w:rFonts w:hint="eastAsia" w:cs="Calibri"/>
          <w:szCs w:val="22"/>
          <w:lang w:val="en-US" w:eastAsia="zh-CN"/>
        </w:rPr>
        <w:t>5</w:t>
      </w:r>
      <w:r>
        <w:rPr>
          <w:rFonts w:ascii="Times New Roman" w:hAnsi="Times New Roman" w:cs="Calibri"/>
          <w:szCs w:val="22"/>
        </w:rPr>
        <w:t>（扩增片段大小为</w:t>
      </w:r>
      <w:r>
        <w:rPr>
          <w:rFonts w:hint="eastAsia" w:cs="Calibri"/>
          <w:szCs w:val="22"/>
          <w:lang w:val="en-US" w:eastAsia="zh-CN"/>
        </w:rPr>
        <w:t>82</w:t>
      </w:r>
      <w:r>
        <w:rPr>
          <w:rFonts w:ascii="Times New Roman" w:hAnsi="Times New Roman" w:cs="Calibri"/>
          <w:szCs w:val="22"/>
        </w:rPr>
        <w:t xml:space="preserve"> bp）作为候选，进行下一步分析。</w:t>
      </w:r>
    </w:p>
    <w:p w14:paraId="3E3B55D0">
      <w:pPr>
        <w:pStyle w:val="5"/>
        <w:bidi w:val="0"/>
        <w:spacing w:before="50" w:beforeLines="50" w:after="50" w:afterLines="50" w:line="240" w:lineRule="auto"/>
        <w:ind w:firstLine="420" w:firstLineChars="200"/>
        <w:rPr>
          <w:rFonts w:ascii="Times New Roman" w:hAnsi="Times New Roman" w:eastAsia="黑体" w:cs="Calibri"/>
          <w:b w:val="0"/>
        </w:rPr>
      </w:pPr>
      <w:r>
        <w:rPr>
          <w:rFonts w:ascii="Times New Roman" w:hAnsi="Times New Roman" w:eastAsia="黑体" w:cs="Calibri"/>
          <w:b w:val="0"/>
        </w:rPr>
        <w:t>1.3 引物探针的确定</w:t>
      </w:r>
    </w:p>
    <w:p w14:paraId="2A8E9357">
      <w:pPr>
        <w:bidi w:val="0"/>
        <w:spacing w:line="312" w:lineRule="auto"/>
        <w:ind w:firstLine="420" w:firstLineChars="200"/>
        <w:rPr>
          <w:rFonts w:ascii="Times New Roman" w:hAnsi="Times New Roman" w:cs="Calibri"/>
          <w:szCs w:val="22"/>
        </w:rPr>
      </w:pPr>
      <w:r>
        <w:rPr>
          <w:rFonts w:ascii="Times New Roman" w:hAnsi="Times New Roman" w:cs="Calibri"/>
          <w:szCs w:val="22"/>
        </w:rPr>
        <w:t>根据测试结果，确定抗虫耐除草剂玉米</w:t>
      </w:r>
      <w:r>
        <w:rPr>
          <w:rFonts w:hint="eastAsia" w:cs="Calibri"/>
          <w:szCs w:val="22"/>
          <w:lang w:eastAsia="zh-CN"/>
        </w:rPr>
        <w:t>QY2569-42</w:t>
      </w:r>
      <w:r>
        <w:rPr>
          <w:rFonts w:ascii="Times New Roman" w:hAnsi="Times New Roman" w:cs="Calibri"/>
          <w:szCs w:val="22"/>
        </w:rPr>
        <w:t>转化体特异性序列实时荧光PCR检测使用的引物探针：</w:t>
      </w:r>
    </w:p>
    <w:p w14:paraId="32907676">
      <w:pPr>
        <w:bidi w:val="0"/>
        <w:spacing w:line="312" w:lineRule="auto"/>
        <w:ind w:firstLine="420" w:firstLineChars="200"/>
        <w:rPr>
          <w:rFonts w:hint="default" w:ascii="Times New Roman" w:hAnsi="Times New Roman" w:cs="Calibri"/>
          <w:color w:val="auto"/>
          <w:szCs w:val="22"/>
          <w:highlight w:val="none"/>
          <w:lang w:val="en-US" w:eastAsia="zh-CN"/>
        </w:rPr>
      </w:pPr>
      <w:r>
        <w:rPr>
          <w:rFonts w:hint="eastAsia" w:ascii="Times New Roman" w:hAnsi="Times New Roman" w:cs="Calibri"/>
          <w:color w:val="auto"/>
          <w:szCs w:val="22"/>
          <w:highlight w:val="none"/>
          <w:lang w:val="en-US" w:eastAsia="zh-CN"/>
        </w:rPr>
        <w:t>QY2569-42</w:t>
      </w:r>
      <w:r>
        <w:rPr>
          <w:rFonts w:hint="default" w:ascii="Times New Roman" w:hAnsi="Times New Roman" w:cs="Calibri"/>
          <w:color w:val="auto"/>
          <w:szCs w:val="22"/>
          <w:highlight w:val="none"/>
          <w:lang w:val="en-US" w:eastAsia="zh-CN"/>
        </w:rPr>
        <w:t>-QF：5</w:t>
      </w:r>
      <w:r>
        <w:rPr>
          <w:rFonts w:hint="default" w:ascii="Times New Roman" w:hAnsi="Times New Roman" w:cs="Calibri"/>
          <w:color w:val="auto"/>
          <w:szCs w:val="22"/>
          <w:highlight w:val="none"/>
          <w:lang w:val="it-IT" w:eastAsia="zh-CN"/>
        </w:rPr>
        <w:t>′</w:t>
      </w:r>
      <w:r>
        <w:rPr>
          <w:rFonts w:hint="default" w:ascii="Times New Roman" w:hAnsi="Times New Roman" w:cs="Calibri"/>
          <w:color w:val="auto"/>
          <w:szCs w:val="22"/>
          <w:highlight w:val="none"/>
          <w:lang w:val="en-US" w:eastAsia="zh-CN"/>
        </w:rPr>
        <w:t>-</w:t>
      </w:r>
      <w:r>
        <w:rPr>
          <w:rFonts w:hint="eastAsia" w:ascii="Times New Roman" w:hAnsi="Times New Roman" w:cs="Calibri"/>
          <w:color w:val="auto"/>
          <w:szCs w:val="22"/>
          <w:highlight w:val="none"/>
          <w:lang w:val="en-US" w:eastAsia="zh-CN"/>
        </w:rPr>
        <w:t>TTAGCAGCTTGAGCTTGGATCAG</w:t>
      </w:r>
      <w:r>
        <w:rPr>
          <w:rFonts w:hint="default" w:ascii="Times New Roman" w:hAnsi="Times New Roman" w:cs="Calibri"/>
          <w:color w:val="auto"/>
          <w:szCs w:val="22"/>
          <w:highlight w:val="none"/>
          <w:lang w:val="en-US" w:eastAsia="zh-CN"/>
        </w:rPr>
        <w:t>-3′；</w:t>
      </w:r>
    </w:p>
    <w:p w14:paraId="4BC292DF">
      <w:pPr>
        <w:bidi w:val="0"/>
        <w:spacing w:line="312" w:lineRule="auto"/>
        <w:ind w:firstLine="420" w:firstLineChars="200"/>
        <w:rPr>
          <w:rFonts w:hint="default" w:ascii="Times New Roman" w:hAnsi="Times New Roman" w:cs="Calibri"/>
          <w:color w:val="auto"/>
          <w:szCs w:val="22"/>
          <w:highlight w:val="none"/>
          <w:lang w:val="en-US" w:eastAsia="zh-CN"/>
        </w:rPr>
      </w:pPr>
      <w:r>
        <w:rPr>
          <w:rFonts w:hint="eastAsia" w:ascii="Times New Roman" w:hAnsi="Times New Roman" w:cs="Calibri"/>
          <w:color w:val="auto"/>
          <w:szCs w:val="22"/>
          <w:highlight w:val="none"/>
          <w:lang w:val="en-US" w:eastAsia="zh-CN"/>
        </w:rPr>
        <w:t>QY2569-42</w:t>
      </w:r>
      <w:r>
        <w:rPr>
          <w:rFonts w:hint="default" w:ascii="Times New Roman" w:hAnsi="Times New Roman" w:cs="Calibri"/>
          <w:color w:val="auto"/>
          <w:szCs w:val="22"/>
          <w:highlight w:val="none"/>
          <w:lang w:val="en-US" w:eastAsia="zh-CN"/>
        </w:rPr>
        <w:t>-QR：5′-</w:t>
      </w:r>
      <w:r>
        <w:rPr>
          <w:rFonts w:hint="eastAsia" w:ascii="Times New Roman" w:hAnsi="Times New Roman" w:cs="Calibri"/>
          <w:color w:val="auto"/>
          <w:szCs w:val="22"/>
          <w:highlight w:val="none"/>
          <w:lang w:val="en-US" w:eastAsia="zh-CN"/>
        </w:rPr>
        <w:t>ATGTTTTAAACCATACTGTAATTCG</w:t>
      </w:r>
      <w:r>
        <w:rPr>
          <w:rFonts w:hint="default" w:ascii="Times New Roman" w:hAnsi="Times New Roman" w:cs="Calibri"/>
          <w:color w:val="auto"/>
          <w:szCs w:val="22"/>
          <w:highlight w:val="none"/>
          <w:lang w:val="en-US" w:eastAsia="zh-CN"/>
        </w:rPr>
        <w:t>-3′；</w:t>
      </w:r>
    </w:p>
    <w:p w14:paraId="2251660C">
      <w:pPr>
        <w:bidi w:val="0"/>
        <w:spacing w:line="312" w:lineRule="auto"/>
        <w:ind w:firstLine="420" w:firstLineChars="200"/>
        <w:rPr>
          <w:rFonts w:hint="default" w:ascii="Times New Roman" w:hAnsi="Times New Roman" w:cs="Calibri"/>
          <w:color w:val="auto"/>
          <w:szCs w:val="22"/>
          <w:highlight w:val="none"/>
          <w:lang w:val="en-US" w:eastAsia="zh-CN"/>
        </w:rPr>
      </w:pPr>
      <w:r>
        <w:rPr>
          <w:rFonts w:hint="eastAsia" w:ascii="Times New Roman" w:hAnsi="Times New Roman" w:cs="Calibri"/>
          <w:color w:val="auto"/>
          <w:szCs w:val="22"/>
          <w:highlight w:val="none"/>
          <w:lang w:val="en-US" w:eastAsia="zh-CN"/>
        </w:rPr>
        <w:t>QY2569-42</w:t>
      </w:r>
      <w:r>
        <w:rPr>
          <w:rFonts w:hint="default" w:ascii="Times New Roman" w:hAnsi="Times New Roman" w:cs="Calibri"/>
          <w:color w:val="auto"/>
          <w:szCs w:val="22"/>
          <w:highlight w:val="none"/>
          <w:lang w:val="en-US" w:eastAsia="zh-CN"/>
        </w:rPr>
        <w:t>-QP：5′-</w:t>
      </w:r>
      <w:r>
        <w:rPr>
          <w:rFonts w:hint="eastAsia" w:cs="Calibri"/>
          <w:color w:val="auto"/>
          <w:szCs w:val="22"/>
          <w:highlight w:val="none"/>
          <w:lang w:val="zh-CN" w:eastAsia="zh-CN"/>
        </w:rPr>
        <w:t>AAACTGAAGGCGGGAAACGACAAT</w:t>
      </w:r>
      <w:r>
        <w:rPr>
          <w:rFonts w:hint="default" w:ascii="Times New Roman" w:hAnsi="Times New Roman" w:cs="Calibri"/>
          <w:color w:val="auto"/>
          <w:szCs w:val="22"/>
          <w:highlight w:val="none"/>
          <w:lang w:val="en-US" w:eastAsia="zh-CN"/>
        </w:rPr>
        <w:t>-3′。</w:t>
      </w:r>
    </w:p>
    <w:p w14:paraId="255E18A8">
      <w:pPr>
        <w:bidi w:val="0"/>
        <w:spacing w:line="312" w:lineRule="auto"/>
        <w:ind w:firstLine="420" w:firstLineChars="200"/>
        <w:rPr>
          <w:rFonts w:eastAsia="仿宋"/>
          <w:sz w:val="32"/>
          <w:szCs w:val="32"/>
        </w:rPr>
      </w:pPr>
      <w:r>
        <w:rPr>
          <w:rFonts w:ascii="Times New Roman" w:hAnsi="Times New Roman" w:cs="Calibri"/>
          <w:szCs w:val="22"/>
        </w:rPr>
        <w:t>其中</w:t>
      </w:r>
      <w:r>
        <w:rPr>
          <w:rFonts w:hint="eastAsia" w:cs="Calibri"/>
          <w:szCs w:val="22"/>
          <w:lang w:eastAsia="zh-CN"/>
        </w:rPr>
        <w:t>QY2569-42</w:t>
      </w:r>
      <w:r>
        <w:rPr>
          <w:rFonts w:ascii="Times New Roman" w:hAnsi="Times New Roman" w:cs="Calibri"/>
          <w:szCs w:val="22"/>
        </w:rPr>
        <w:t>-QP为抗虫耐除草剂玉米</w:t>
      </w:r>
      <w:r>
        <w:rPr>
          <w:rFonts w:hint="eastAsia" w:cs="Calibri"/>
          <w:szCs w:val="22"/>
          <w:lang w:eastAsia="zh-CN"/>
        </w:rPr>
        <w:t>QY2569-42</w:t>
      </w:r>
      <w:r>
        <w:rPr>
          <w:rFonts w:ascii="Times New Roman" w:hAnsi="Times New Roman" w:cs="Calibri"/>
          <w:szCs w:val="22"/>
        </w:rPr>
        <w:t>转化体特异性序列的TaqMan探针，其5′端标记荧光报告基团（如FAM，HEX等），3′端标记对应的淬灭基团（如TAMRA，BHQ1等）。预期扩增片段大小为</w:t>
      </w:r>
      <w:r>
        <w:rPr>
          <w:rFonts w:hint="eastAsia" w:cs="Calibri"/>
          <w:szCs w:val="22"/>
          <w:lang w:val="en-US" w:eastAsia="zh-CN"/>
        </w:rPr>
        <w:t>82</w:t>
      </w:r>
      <w:r>
        <w:rPr>
          <w:rFonts w:ascii="Times New Roman" w:hAnsi="Times New Roman" w:cs="Calibri"/>
          <w:szCs w:val="22"/>
        </w:rPr>
        <w:t xml:space="preserve"> bp。</w:t>
      </w:r>
    </w:p>
    <w:p w14:paraId="678BD6CA">
      <w:pPr>
        <w:pStyle w:val="4"/>
        <w:bidi w:val="0"/>
        <w:spacing w:before="50" w:beforeLines="50" w:after="50" w:afterLines="50" w:line="240" w:lineRule="auto"/>
        <w:ind w:firstLine="420" w:firstLineChars="200"/>
        <w:rPr>
          <w:rFonts w:ascii="Times New Roman" w:hAnsi="Times New Roman" w:eastAsia="黑体" w:cs="Calibri"/>
          <w:b w:val="0"/>
          <w:sz w:val="21"/>
          <w:highlight w:val="none"/>
        </w:rPr>
      </w:pPr>
      <w:r>
        <w:rPr>
          <w:rFonts w:ascii="Times New Roman" w:hAnsi="Times New Roman" w:eastAsia="黑体" w:cs="Calibri"/>
          <w:b w:val="0"/>
          <w:sz w:val="21"/>
          <w:highlight w:val="none"/>
        </w:rPr>
        <w:t>2. PCR扩增反应条件的优化与确定</w:t>
      </w:r>
    </w:p>
    <w:p w14:paraId="53E661C0">
      <w:pPr>
        <w:pStyle w:val="4"/>
        <w:bidi w:val="0"/>
        <w:spacing w:before="50" w:beforeLines="50" w:after="50" w:afterLines="50" w:line="240" w:lineRule="auto"/>
        <w:ind w:firstLine="420" w:firstLineChars="200"/>
        <w:rPr>
          <w:rFonts w:ascii="Times New Roman" w:hAnsi="Times New Roman" w:eastAsia="黑体" w:cs="Calibri"/>
          <w:b w:val="0"/>
          <w:sz w:val="21"/>
          <w:highlight w:val="none"/>
        </w:rPr>
      </w:pPr>
      <w:r>
        <w:rPr>
          <w:rFonts w:ascii="Times New Roman" w:hAnsi="Times New Roman" w:eastAsia="黑体" w:cs="Calibri"/>
          <w:b w:val="0"/>
          <w:sz w:val="21"/>
          <w:highlight w:val="none"/>
        </w:rPr>
        <w:t>2.1 引物探针浓度的优化</w:t>
      </w:r>
    </w:p>
    <w:p w14:paraId="10BF2F35">
      <w:pPr>
        <w:bidi w:val="0"/>
        <w:spacing w:line="312" w:lineRule="auto"/>
        <w:ind w:firstLine="420" w:firstLineChars="200"/>
        <w:rPr>
          <w:rFonts w:ascii="Times New Roman" w:hAnsi="Times New Roman" w:cs="Calibri"/>
          <w:szCs w:val="22"/>
        </w:rPr>
      </w:pPr>
      <w:r>
        <w:rPr>
          <w:rFonts w:ascii="Times New Roman" w:hAnsi="Times New Roman" w:cs="Calibri"/>
          <w:szCs w:val="22"/>
        </w:rPr>
        <w:t>参照</w:t>
      </w:r>
      <w:r>
        <w:rPr>
          <w:rFonts w:hint="eastAsia" w:cs="Calibri"/>
          <w:szCs w:val="22"/>
          <w:lang w:eastAsia="zh-CN"/>
        </w:rPr>
        <w:t>农业部1861号公告—3—2012</w:t>
      </w:r>
      <w:r>
        <w:rPr>
          <w:rFonts w:ascii="Times New Roman" w:hAnsi="Times New Roman" w:cs="Calibri"/>
          <w:szCs w:val="22"/>
        </w:rPr>
        <w:t>标准中</w:t>
      </w:r>
      <w:r>
        <w:rPr>
          <w:rFonts w:ascii="Times New Roman" w:hAnsi="Times New Roman" w:cs="Calibri"/>
          <w:i/>
          <w:iCs/>
          <w:szCs w:val="22"/>
        </w:rPr>
        <w:t>zSSIIb</w:t>
      </w:r>
      <w:r>
        <w:rPr>
          <w:rFonts w:ascii="Times New Roman" w:hAnsi="Times New Roman" w:cs="Calibri"/>
          <w:szCs w:val="22"/>
        </w:rPr>
        <w:t>基因的反应程序，以60℃为退火延伸温度进行PCR扩增，调整优化实时荧光PCR反应体系，分别设置0.1 μmol/L、0.2 μmol/L、0.4 μmol/L、0.6 μmol/L、0.8 μmol/L等5种引物浓度梯度，探针浓度为引物浓度的一半，根据荧光曲线的线型、相对</w:t>
      </w:r>
      <w:r>
        <w:rPr>
          <w:rFonts w:ascii="Times New Roman" w:hAnsi="Times New Roman" w:cs="Calibri"/>
          <w:i/>
          <w:iCs/>
          <w:szCs w:val="22"/>
        </w:rPr>
        <w:t>Ct</w:t>
      </w:r>
      <w:r>
        <w:rPr>
          <w:rFonts w:ascii="Times New Roman" w:hAnsi="Times New Roman" w:cs="Calibri"/>
          <w:szCs w:val="22"/>
        </w:rPr>
        <w:t>值等，确定引物和探针的浓度。实时荧光PCR结果显示，引物探针浓度越高，</w:t>
      </w:r>
      <w:r>
        <w:rPr>
          <w:rFonts w:ascii="Times New Roman" w:hAnsi="Times New Roman" w:cs="Calibri"/>
          <w:i/>
          <w:iCs/>
          <w:szCs w:val="22"/>
        </w:rPr>
        <w:t>Ct</w:t>
      </w:r>
      <w:r>
        <w:rPr>
          <w:rFonts w:ascii="Times New Roman" w:hAnsi="Times New Roman" w:cs="Calibri"/>
          <w:szCs w:val="22"/>
        </w:rPr>
        <w:t>值越小，荧光信号值越高；引物浓度在0.4 μmol/L以上、探针浓度在0.2 μmol/L以上时Ct值差异并不明显（图</w:t>
      </w:r>
      <w:r>
        <w:rPr>
          <w:rFonts w:hint="eastAsia" w:cs="Calibri"/>
          <w:szCs w:val="22"/>
          <w:lang w:val="en-US" w:eastAsia="zh-CN"/>
        </w:rPr>
        <w:t>2-5</w:t>
      </w:r>
      <w:r>
        <w:rPr>
          <w:rFonts w:hint="eastAsia" w:ascii="Times New Roman" w:hAnsi="Times New Roman" w:cs="Calibri"/>
          <w:szCs w:val="22"/>
        </w:rPr>
        <w:t>和表</w:t>
      </w:r>
      <w:r>
        <w:rPr>
          <w:rFonts w:hint="eastAsia" w:cs="Calibri"/>
          <w:szCs w:val="22"/>
          <w:lang w:val="en-US" w:eastAsia="zh-CN"/>
        </w:rPr>
        <w:t>2-5</w:t>
      </w:r>
      <w:r>
        <w:rPr>
          <w:rFonts w:ascii="Times New Roman" w:hAnsi="Times New Roman" w:cs="Calibri"/>
          <w:szCs w:val="22"/>
        </w:rPr>
        <w:t>），最后综合考量了扩增效率和体系配置的适用性等因素，确定了抗虫耐除草剂玉米</w:t>
      </w:r>
      <w:r>
        <w:rPr>
          <w:rFonts w:hint="eastAsia" w:cs="Calibri"/>
          <w:szCs w:val="22"/>
          <w:lang w:eastAsia="zh-CN"/>
        </w:rPr>
        <w:t>QY2569-42</w:t>
      </w:r>
      <w:r>
        <w:rPr>
          <w:rFonts w:ascii="Times New Roman" w:hAnsi="Times New Roman" w:cs="Calibri"/>
          <w:szCs w:val="22"/>
        </w:rPr>
        <w:t>转化体检测体系中的引物浓度为0.4 μmol/L，探针浓度为0.2 μmol/L。</w:t>
      </w:r>
    </w:p>
    <w:p w14:paraId="2D567EEE">
      <w:pPr>
        <w:spacing w:line="360" w:lineRule="auto"/>
        <w:ind w:firstLine="482"/>
        <w:jc w:val="center"/>
        <w:rPr>
          <w:color w:val="auto"/>
          <w:highlight w:val="none"/>
        </w:rPr>
      </w:pPr>
    </w:p>
    <w:p w14:paraId="295760EF">
      <w:pPr>
        <w:spacing w:line="360" w:lineRule="auto"/>
        <w:ind w:firstLine="482"/>
        <w:jc w:val="center"/>
        <w:rPr>
          <w:color w:val="auto"/>
          <w:highlight w:val="none"/>
        </w:rPr>
      </w:pPr>
      <w:r>
        <w:drawing>
          <wp:inline distT="0" distB="0" distL="114300" distR="114300">
            <wp:extent cx="4016375" cy="2520315"/>
            <wp:effectExtent l="0" t="0" r="0" b="0"/>
            <wp:docPr id="5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5"/>
                    <pic:cNvPicPr>
                      <a:picLocks noChangeAspect="1"/>
                    </pic:cNvPicPr>
                  </pic:nvPicPr>
                  <pic:blipFill>
                    <a:blip r:embed="rId12"/>
                    <a:stretch>
                      <a:fillRect/>
                    </a:stretch>
                  </pic:blipFill>
                  <pic:spPr>
                    <a:xfrm>
                      <a:off x="0" y="0"/>
                      <a:ext cx="4016375" cy="2520315"/>
                    </a:xfrm>
                    <a:prstGeom prst="rect">
                      <a:avLst/>
                    </a:prstGeom>
                    <a:noFill/>
                    <a:ln>
                      <a:noFill/>
                    </a:ln>
                  </pic:spPr>
                </pic:pic>
              </a:graphicData>
            </a:graphic>
          </wp:inline>
        </w:drawing>
      </w:r>
    </w:p>
    <w:p w14:paraId="45660230">
      <w:pPr>
        <w:pStyle w:val="8"/>
        <w:keepNext/>
        <w:bidi w:val="0"/>
        <w:spacing w:line="240" w:lineRule="auto"/>
        <w:ind w:firstLine="0" w:firstLineChars="0"/>
        <w:jc w:val="center"/>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2-5</w:t>
      </w:r>
      <w:r>
        <w:rPr>
          <w:rFonts w:ascii="Times New Roman" w:hAnsi="Times New Roman" w:eastAsia="黑体" w:cs="Calibri"/>
          <w:sz w:val="18"/>
          <w:szCs w:val="22"/>
        </w:rPr>
        <w:t xml:space="preserve"> 引物/探针浓度优化</w:t>
      </w:r>
    </w:p>
    <w:p w14:paraId="044EF049">
      <w:pPr>
        <w:rPr>
          <w:rFonts w:ascii="Times New Roman" w:hAnsi="Times New Roman" w:eastAsia="黑体" w:cs="Calibri"/>
          <w:sz w:val="18"/>
          <w:szCs w:val="22"/>
        </w:rPr>
      </w:pPr>
    </w:p>
    <w:p w14:paraId="1981E630">
      <w:pPr>
        <w:pStyle w:val="8"/>
        <w:keepNext/>
        <w:bidi w:val="0"/>
        <w:spacing w:line="240" w:lineRule="auto"/>
        <w:ind w:firstLine="0" w:firstLineChars="0"/>
        <w:jc w:val="center"/>
        <w:rPr>
          <w:rFonts w:ascii="Times New Roman" w:hAnsi="Times New Roman" w:eastAsia="黑体" w:cs="Calibri"/>
          <w:sz w:val="18"/>
          <w:szCs w:val="22"/>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2-5</w:t>
      </w:r>
      <w:r>
        <w:rPr>
          <w:rFonts w:ascii="Times New Roman" w:hAnsi="Times New Roman" w:eastAsia="黑体" w:cs="Calibri"/>
          <w:sz w:val="18"/>
          <w:szCs w:val="22"/>
        </w:rPr>
        <w:t xml:space="preserve"> 引物探针浓度优化结果</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372"/>
        <w:gridCol w:w="1373"/>
        <w:gridCol w:w="787"/>
        <w:gridCol w:w="787"/>
        <w:gridCol w:w="788"/>
        <w:gridCol w:w="925"/>
      </w:tblGrid>
      <w:tr w14:paraId="70B7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Merge w:val="restart"/>
            <w:noWrap/>
            <w:vAlign w:val="center"/>
          </w:tcPr>
          <w:p w14:paraId="2F2B8F2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组合</w:t>
            </w:r>
          </w:p>
        </w:tc>
        <w:tc>
          <w:tcPr>
            <w:tcW w:w="1372" w:type="dxa"/>
            <w:vMerge w:val="restart"/>
            <w:noWrap/>
            <w:vAlign w:val="center"/>
          </w:tcPr>
          <w:p w14:paraId="44AE4D8D">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引物终浓度（μmol/L）</w:t>
            </w:r>
          </w:p>
        </w:tc>
        <w:tc>
          <w:tcPr>
            <w:tcW w:w="1373" w:type="dxa"/>
            <w:vMerge w:val="restart"/>
            <w:noWrap/>
            <w:vAlign w:val="center"/>
          </w:tcPr>
          <w:p w14:paraId="1C537A4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探针终浓度</w:t>
            </w:r>
          </w:p>
          <w:p w14:paraId="1CD2834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（μmol/L）</w:t>
            </w:r>
          </w:p>
        </w:tc>
        <w:tc>
          <w:tcPr>
            <w:tcW w:w="3287" w:type="dxa"/>
            <w:gridSpan w:val="4"/>
            <w:noWrap/>
            <w:vAlign w:val="center"/>
          </w:tcPr>
          <w:p w14:paraId="3230210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sz w:val="18"/>
                <w:szCs w:val="18"/>
              </w:rPr>
              <w:t>Ct</w:t>
            </w:r>
            <w:r>
              <w:rPr>
                <w:rFonts w:hint="default" w:ascii="Times New Roman" w:hAnsi="Times New Roman" w:eastAsia="宋体" w:cs="Times New Roman"/>
                <w:b/>
                <w:bCs/>
                <w:sz w:val="18"/>
                <w:szCs w:val="18"/>
              </w:rPr>
              <w:t>值</w:t>
            </w:r>
          </w:p>
        </w:tc>
      </w:tr>
      <w:tr w14:paraId="0A57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Merge w:val="continue"/>
            <w:noWrap/>
            <w:vAlign w:val="center"/>
          </w:tcPr>
          <w:p w14:paraId="2E0A538C">
            <w:pPr>
              <w:jc w:val="center"/>
              <w:rPr>
                <w:rFonts w:hint="default" w:ascii="Times New Roman" w:hAnsi="Times New Roman" w:eastAsia="宋体" w:cs="Times New Roman"/>
                <w:sz w:val="18"/>
                <w:szCs w:val="18"/>
              </w:rPr>
            </w:pPr>
          </w:p>
        </w:tc>
        <w:tc>
          <w:tcPr>
            <w:tcW w:w="1372" w:type="dxa"/>
            <w:vMerge w:val="continue"/>
            <w:noWrap/>
            <w:vAlign w:val="center"/>
          </w:tcPr>
          <w:p w14:paraId="50D04D88">
            <w:pPr>
              <w:jc w:val="center"/>
              <w:rPr>
                <w:rFonts w:hint="default" w:ascii="Times New Roman" w:hAnsi="Times New Roman" w:eastAsia="宋体" w:cs="Times New Roman"/>
                <w:sz w:val="18"/>
                <w:szCs w:val="18"/>
              </w:rPr>
            </w:pPr>
          </w:p>
        </w:tc>
        <w:tc>
          <w:tcPr>
            <w:tcW w:w="1373" w:type="dxa"/>
            <w:vMerge w:val="continue"/>
            <w:noWrap/>
            <w:vAlign w:val="center"/>
          </w:tcPr>
          <w:p w14:paraId="74D39A55">
            <w:pPr>
              <w:jc w:val="center"/>
              <w:rPr>
                <w:rFonts w:hint="default" w:ascii="Times New Roman" w:hAnsi="Times New Roman" w:eastAsia="宋体" w:cs="Times New Roman"/>
                <w:sz w:val="18"/>
                <w:szCs w:val="18"/>
              </w:rPr>
            </w:pPr>
          </w:p>
        </w:tc>
        <w:tc>
          <w:tcPr>
            <w:tcW w:w="787" w:type="dxa"/>
            <w:noWrap/>
            <w:vAlign w:val="center"/>
          </w:tcPr>
          <w:p w14:paraId="0FE078A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平行1</w:t>
            </w:r>
          </w:p>
        </w:tc>
        <w:tc>
          <w:tcPr>
            <w:tcW w:w="787" w:type="dxa"/>
            <w:noWrap/>
            <w:vAlign w:val="center"/>
          </w:tcPr>
          <w:p w14:paraId="2D42ACC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平行2</w:t>
            </w:r>
          </w:p>
        </w:tc>
        <w:tc>
          <w:tcPr>
            <w:tcW w:w="788" w:type="dxa"/>
            <w:noWrap/>
            <w:vAlign w:val="center"/>
          </w:tcPr>
          <w:p w14:paraId="15964B6F">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平行3</w:t>
            </w:r>
          </w:p>
        </w:tc>
        <w:tc>
          <w:tcPr>
            <w:tcW w:w="925" w:type="dxa"/>
            <w:noWrap/>
            <w:vAlign w:val="center"/>
          </w:tcPr>
          <w:p w14:paraId="0204861F">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平均值</w:t>
            </w:r>
          </w:p>
        </w:tc>
      </w:tr>
      <w:tr w14:paraId="7A5D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noWrap/>
            <w:vAlign w:val="center"/>
          </w:tcPr>
          <w:p w14:paraId="5533B7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组合1</w:t>
            </w:r>
          </w:p>
        </w:tc>
        <w:tc>
          <w:tcPr>
            <w:tcW w:w="1372" w:type="dxa"/>
            <w:noWrap/>
            <w:vAlign w:val="center"/>
          </w:tcPr>
          <w:p w14:paraId="6F5D46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0.1</w:t>
            </w:r>
          </w:p>
        </w:tc>
        <w:tc>
          <w:tcPr>
            <w:tcW w:w="1373" w:type="dxa"/>
            <w:noWrap/>
            <w:vAlign w:val="center"/>
          </w:tcPr>
          <w:p w14:paraId="7B2B2D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0.05</w:t>
            </w:r>
          </w:p>
        </w:tc>
        <w:tc>
          <w:tcPr>
            <w:tcW w:w="787" w:type="dxa"/>
            <w:noWrap/>
            <w:vAlign w:val="center"/>
          </w:tcPr>
          <w:p w14:paraId="2C9B4750">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31.303</w:t>
            </w:r>
          </w:p>
        </w:tc>
        <w:tc>
          <w:tcPr>
            <w:tcW w:w="787" w:type="dxa"/>
            <w:noWrap/>
            <w:vAlign w:val="center"/>
          </w:tcPr>
          <w:p w14:paraId="050A5754">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31.366</w:t>
            </w:r>
          </w:p>
        </w:tc>
        <w:tc>
          <w:tcPr>
            <w:tcW w:w="788" w:type="dxa"/>
            <w:noWrap/>
            <w:vAlign w:val="center"/>
          </w:tcPr>
          <w:p w14:paraId="0A28F950">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31.445</w:t>
            </w:r>
          </w:p>
        </w:tc>
        <w:tc>
          <w:tcPr>
            <w:tcW w:w="925" w:type="dxa"/>
            <w:noWrap/>
            <w:vAlign w:val="center"/>
          </w:tcPr>
          <w:p w14:paraId="3476729C">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31.371</w:t>
            </w:r>
          </w:p>
        </w:tc>
      </w:tr>
      <w:tr w14:paraId="5BEF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noWrap/>
            <w:vAlign w:val="center"/>
          </w:tcPr>
          <w:p w14:paraId="606DE6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组合2</w:t>
            </w:r>
          </w:p>
        </w:tc>
        <w:tc>
          <w:tcPr>
            <w:tcW w:w="1372" w:type="dxa"/>
            <w:noWrap/>
            <w:vAlign w:val="center"/>
          </w:tcPr>
          <w:p w14:paraId="02AFED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0.2</w:t>
            </w:r>
          </w:p>
        </w:tc>
        <w:tc>
          <w:tcPr>
            <w:tcW w:w="1373" w:type="dxa"/>
            <w:noWrap/>
            <w:vAlign w:val="center"/>
          </w:tcPr>
          <w:p w14:paraId="4C9CF0E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0.1</w:t>
            </w:r>
          </w:p>
        </w:tc>
        <w:tc>
          <w:tcPr>
            <w:tcW w:w="787" w:type="dxa"/>
            <w:noWrap/>
            <w:vAlign w:val="center"/>
          </w:tcPr>
          <w:p w14:paraId="273F9D02">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30.405</w:t>
            </w:r>
          </w:p>
        </w:tc>
        <w:tc>
          <w:tcPr>
            <w:tcW w:w="787" w:type="dxa"/>
            <w:noWrap/>
            <w:vAlign w:val="center"/>
          </w:tcPr>
          <w:p w14:paraId="7D3E68CA">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30.677</w:t>
            </w:r>
          </w:p>
        </w:tc>
        <w:tc>
          <w:tcPr>
            <w:tcW w:w="788" w:type="dxa"/>
            <w:noWrap/>
            <w:vAlign w:val="center"/>
          </w:tcPr>
          <w:p w14:paraId="67585EAF">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30.498</w:t>
            </w:r>
          </w:p>
        </w:tc>
        <w:tc>
          <w:tcPr>
            <w:tcW w:w="925" w:type="dxa"/>
            <w:noWrap/>
            <w:vAlign w:val="center"/>
          </w:tcPr>
          <w:p w14:paraId="5A2EBFEE">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30.527</w:t>
            </w:r>
          </w:p>
        </w:tc>
      </w:tr>
      <w:tr w14:paraId="7424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noWrap/>
            <w:vAlign w:val="center"/>
          </w:tcPr>
          <w:p w14:paraId="39A39FC6">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组合3</w:t>
            </w:r>
          </w:p>
        </w:tc>
        <w:tc>
          <w:tcPr>
            <w:tcW w:w="1372" w:type="dxa"/>
            <w:noWrap/>
            <w:vAlign w:val="center"/>
          </w:tcPr>
          <w:p w14:paraId="3E52934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0.4</w:t>
            </w:r>
          </w:p>
        </w:tc>
        <w:tc>
          <w:tcPr>
            <w:tcW w:w="1373" w:type="dxa"/>
            <w:noWrap/>
            <w:vAlign w:val="center"/>
          </w:tcPr>
          <w:p w14:paraId="022517FD">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0.2</w:t>
            </w:r>
          </w:p>
        </w:tc>
        <w:tc>
          <w:tcPr>
            <w:tcW w:w="787" w:type="dxa"/>
            <w:noWrap/>
            <w:vAlign w:val="center"/>
          </w:tcPr>
          <w:p w14:paraId="49736BC4">
            <w:pPr>
              <w:pStyle w:val="15"/>
              <w:keepNext w:val="0"/>
              <w:keepLines w:val="0"/>
              <w:widowControl/>
              <w:suppressLineNumbers w:val="0"/>
              <w:kinsoku/>
              <w:wordWrap/>
              <w:overflowPunct/>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color w:val="auto"/>
                <w:sz w:val="18"/>
                <w:szCs w:val="18"/>
                <w:highlight w:val="none"/>
              </w:rPr>
              <w:t>30.561</w:t>
            </w:r>
          </w:p>
        </w:tc>
        <w:tc>
          <w:tcPr>
            <w:tcW w:w="787" w:type="dxa"/>
            <w:noWrap/>
            <w:vAlign w:val="center"/>
          </w:tcPr>
          <w:p w14:paraId="3C355C3F">
            <w:pPr>
              <w:pStyle w:val="15"/>
              <w:keepNext w:val="0"/>
              <w:keepLines w:val="0"/>
              <w:widowControl/>
              <w:suppressLineNumbers w:val="0"/>
              <w:kinsoku/>
              <w:wordWrap/>
              <w:overflowPunct/>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color w:val="auto"/>
                <w:sz w:val="18"/>
                <w:szCs w:val="18"/>
                <w:highlight w:val="none"/>
              </w:rPr>
              <w:t>30.283</w:t>
            </w:r>
          </w:p>
        </w:tc>
        <w:tc>
          <w:tcPr>
            <w:tcW w:w="788" w:type="dxa"/>
            <w:noWrap/>
            <w:vAlign w:val="center"/>
          </w:tcPr>
          <w:p w14:paraId="37ECA075">
            <w:pPr>
              <w:pStyle w:val="15"/>
              <w:keepNext w:val="0"/>
              <w:keepLines w:val="0"/>
              <w:widowControl/>
              <w:suppressLineNumbers w:val="0"/>
              <w:kinsoku/>
              <w:wordWrap/>
              <w:overflowPunct/>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color w:val="auto"/>
                <w:sz w:val="18"/>
                <w:szCs w:val="18"/>
                <w:highlight w:val="none"/>
              </w:rPr>
              <w:t>30.295</w:t>
            </w:r>
          </w:p>
        </w:tc>
        <w:tc>
          <w:tcPr>
            <w:tcW w:w="925" w:type="dxa"/>
            <w:noWrap/>
            <w:vAlign w:val="center"/>
          </w:tcPr>
          <w:p w14:paraId="4D60DCB9">
            <w:pPr>
              <w:pStyle w:val="15"/>
              <w:keepNext w:val="0"/>
              <w:keepLines w:val="0"/>
              <w:widowControl/>
              <w:suppressLineNumbers w:val="0"/>
              <w:kinsoku/>
              <w:wordWrap/>
              <w:overflowPunct/>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color w:val="auto"/>
                <w:sz w:val="18"/>
                <w:szCs w:val="18"/>
                <w:highlight w:val="none"/>
              </w:rPr>
              <w:t>30.380</w:t>
            </w:r>
          </w:p>
        </w:tc>
      </w:tr>
      <w:tr w14:paraId="44A0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noWrap/>
            <w:vAlign w:val="center"/>
          </w:tcPr>
          <w:p w14:paraId="5E297D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组合4</w:t>
            </w:r>
          </w:p>
        </w:tc>
        <w:tc>
          <w:tcPr>
            <w:tcW w:w="1372" w:type="dxa"/>
            <w:noWrap/>
            <w:vAlign w:val="center"/>
          </w:tcPr>
          <w:p w14:paraId="0AFE32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0.6</w:t>
            </w:r>
          </w:p>
        </w:tc>
        <w:tc>
          <w:tcPr>
            <w:tcW w:w="1373" w:type="dxa"/>
            <w:noWrap/>
            <w:vAlign w:val="center"/>
          </w:tcPr>
          <w:p w14:paraId="4237A02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0.3</w:t>
            </w:r>
          </w:p>
        </w:tc>
        <w:tc>
          <w:tcPr>
            <w:tcW w:w="787" w:type="dxa"/>
            <w:noWrap/>
            <w:vAlign w:val="center"/>
          </w:tcPr>
          <w:p w14:paraId="00BFCB1C">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30.326</w:t>
            </w:r>
          </w:p>
        </w:tc>
        <w:tc>
          <w:tcPr>
            <w:tcW w:w="787" w:type="dxa"/>
            <w:noWrap/>
            <w:vAlign w:val="center"/>
          </w:tcPr>
          <w:p w14:paraId="3EC03297">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30.206</w:t>
            </w:r>
          </w:p>
        </w:tc>
        <w:tc>
          <w:tcPr>
            <w:tcW w:w="788" w:type="dxa"/>
            <w:noWrap/>
            <w:vAlign w:val="center"/>
          </w:tcPr>
          <w:p w14:paraId="3632F86C">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30.248</w:t>
            </w:r>
          </w:p>
        </w:tc>
        <w:tc>
          <w:tcPr>
            <w:tcW w:w="925" w:type="dxa"/>
            <w:noWrap/>
            <w:vAlign w:val="center"/>
          </w:tcPr>
          <w:p w14:paraId="2BDBF853">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30.260</w:t>
            </w:r>
          </w:p>
        </w:tc>
      </w:tr>
      <w:tr w14:paraId="0812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noWrap/>
            <w:vAlign w:val="center"/>
          </w:tcPr>
          <w:p w14:paraId="3BB1B7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组合5</w:t>
            </w:r>
          </w:p>
        </w:tc>
        <w:tc>
          <w:tcPr>
            <w:tcW w:w="1372" w:type="dxa"/>
            <w:noWrap/>
            <w:vAlign w:val="center"/>
          </w:tcPr>
          <w:p w14:paraId="64BDD6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0.8</w:t>
            </w:r>
          </w:p>
        </w:tc>
        <w:tc>
          <w:tcPr>
            <w:tcW w:w="1373" w:type="dxa"/>
            <w:noWrap/>
            <w:vAlign w:val="center"/>
          </w:tcPr>
          <w:p w14:paraId="1372F5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w:t>
            </w:r>
          </w:p>
        </w:tc>
        <w:tc>
          <w:tcPr>
            <w:tcW w:w="787" w:type="dxa"/>
            <w:noWrap/>
            <w:vAlign w:val="center"/>
          </w:tcPr>
          <w:p w14:paraId="61DA31C9">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30.174</w:t>
            </w:r>
          </w:p>
        </w:tc>
        <w:tc>
          <w:tcPr>
            <w:tcW w:w="787" w:type="dxa"/>
            <w:noWrap/>
            <w:vAlign w:val="center"/>
          </w:tcPr>
          <w:p w14:paraId="1873F1B9">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30.011</w:t>
            </w:r>
          </w:p>
        </w:tc>
        <w:tc>
          <w:tcPr>
            <w:tcW w:w="788" w:type="dxa"/>
            <w:noWrap/>
            <w:vAlign w:val="center"/>
          </w:tcPr>
          <w:p w14:paraId="180541B1">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30.331</w:t>
            </w:r>
          </w:p>
        </w:tc>
        <w:tc>
          <w:tcPr>
            <w:tcW w:w="925" w:type="dxa"/>
            <w:noWrap/>
            <w:vAlign w:val="center"/>
          </w:tcPr>
          <w:p w14:paraId="47A84AD9">
            <w:pPr>
              <w:pStyle w:val="15"/>
              <w:keepNext w:val="0"/>
              <w:keepLines w:val="0"/>
              <w:widowControl/>
              <w:suppressLineNumbers w:val="0"/>
              <w:kinsoku/>
              <w:wordWrap/>
              <w:overflowPunct/>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rPr>
              <w:t>30.172</w:t>
            </w:r>
          </w:p>
        </w:tc>
      </w:tr>
    </w:tbl>
    <w:p w14:paraId="076CB391">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2.2 PCR扩增反应条件的确定</w:t>
      </w:r>
    </w:p>
    <w:p w14:paraId="22485607">
      <w:pPr>
        <w:bidi w:val="0"/>
        <w:spacing w:line="312" w:lineRule="auto"/>
        <w:ind w:firstLine="420" w:firstLineChars="200"/>
        <w:rPr>
          <w:rFonts w:ascii="Times New Roman" w:hAnsi="Times New Roman" w:cs="Calibri"/>
          <w:szCs w:val="22"/>
        </w:rPr>
      </w:pPr>
      <w:r>
        <w:rPr>
          <w:rFonts w:ascii="Times New Roman" w:hAnsi="Times New Roman" w:cs="Calibri"/>
          <w:szCs w:val="22"/>
        </w:rPr>
        <w:t>经优化最终确立了抗虫耐除草剂玉米</w:t>
      </w:r>
      <w:r>
        <w:rPr>
          <w:rFonts w:hint="eastAsia" w:cs="Calibri"/>
          <w:szCs w:val="22"/>
          <w:lang w:eastAsia="zh-CN"/>
        </w:rPr>
        <w:t>QY2569-42</w:t>
      </w:r>
      <w:r>
        <w:rPr>
          <w:rFonts w:ascii="Times New Roman" w:hAnsi="Times New Roman" w:cs="Calibri"/>
          <w:szCs w:val="22"/>
        </w:rPr>
        <w:t>转化体特异性实时荧光PCR扩增体系，各项成分按表</w:t>
      </w:r>
      <w:r>
        <w:rPr>
          <w:rFonts w:hint="eastAsia" w:cs="Calibri"/>
          <w:szCs w:val="22"/>
          <w:lang w:val="en-US" w:eastAsia="zh-CN"/>
        </w:rPr>
        <w:t>2-6</w:t>
      </w:r>
      <w:r>
        <w:rPr>
          <w:rFonts w:ascii="Times New Roman" w:hAnsi="Times New Roman" w:cs="Calibri"/>
          <w:szCs w:val="22"/>
        </w:rPr>
        <w:t>所述添加。反应程序为：95℃变性5 min（第一阶段）；95℃变性15 s，60℃退火延伸60 s，循环数≥40（第二阶段）；在第二阶段的退火延伸时段收集荧光信号。</w:t>
      </w:r>
    </w:p>
    <w:p w14:paraId="6AE910CE">
      <w:pPr>
        <w:pStyle w:val="8"/>
        <w:spacing w:line="312" w:lineRule="auto"/>
        <w:ind w:firstLine="422"/>
        <w:jc w:val="center"/>
        <w:rPr>
          <w:rFonts w:ascii="Times New Roman" w:hAnsi="Times New Roman" w:eastAsia="仿宋"/>
          <w:b/>
          <w:bCs/>
          <w:sz w:val="21"/>
          <w:szCs w:val="21"/>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2-6</w:t>
      </w:r>
      <w:r>
        <w:rPr>
          <w:rFonts w:ascii="Times New Roman" w:hAnsi="Times New Roman" w:eastAsia="黑体" w:cs="Calibri"/>
          <w:sz w:val="18"/>
          <w:szCs w:val="22"/>
        </w:rPr>
        <w:t xml:space="preserve"> 实时荧光PCR定性扩增体系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9"/>
        <w:gridCol w:w="2637"/>
        <w:gridCol w:w="2637"/>
      </w:tblGrid>
      <w:tr w14:paraId="6C16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646B9372">
            <w:pPr>
              <w:tabs>
                <w:tab w:val="left" w:pos="5265"/>
              </w:tabs>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试剂</w:t>
            </w:r>
          </w:p>
        </w:tc>
        <w:tc>
          <w:tcPr>
            <w:tcW w:w="2637" w:type="dxa"/>
            <w:vAlign w:val="center"/>
          </w:tcPr>
          <w:p w14:paraId="78352B4E">
            <w:pPr>
              <w:tabs>
                <w:tab w:val="left" w:pos="5265"/>
              </w:tabs>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终浓度</w:t>
            </w:r>
          </w:p>
        </w:tc>
        <w:tc>
          <w:tcPr>
            <w:tcW w:w="2637" w:type="dxa"/>
            <w:vAlign w:val="center"/>
          </w:tcPr>
          <w:p w14:paraId="4F72C3FB">
            <w:pPr>
              <w:tabs>
                <w:tab w:val="left" w:pos="5265"/>
              </w:tabs>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体积</w:t>
            </w:r>
          </w:p>
        </w:tc>
      </w:tr>
      <w:tr w14:paraId="58F3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4050F37B">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ddH</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w:t>
            </w:r>
          </w:p>
        </w:tc>
        <w:tc>
          <w:tcPr>
            <w:tcW w:w="2637" w:type="dxa"/>
            <w:vAlign w:val="center"/>
          </w:tcPr>
          <w:p w14:paraId="49859EB6">
            <w:pPr>
              <w:tabs>
                <w:tab w:val="left" w:pos="5265"/>
              </w:tabs>
              <w:jc w:val="center"/>
              <w:rPr>
                <w:rFonts w:hint="default" w:ascii="Times New Roman" w:hAnsi="Times New Roman" w:eastAsia="宋体" w:cs="Times New Roman"/>
                <w:sz w:val="18"/>
                <w:szCs w:val="18"/>
              </w:rPr>
            </w:pPr>
          </w:p>
        </w:tc>
        <w:tc>
          <w:tcPr>
            <w:tcW w:w="2637" w:type="dxa"/>
            <w:vAlign w:val="center"/>
          </w:tcPr>
          <w:p w14:paraId="4D5EFEBC">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252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0876A257">
            <w:pPr>
              <w:tabs>
                <w:tab w:val="left" w:pos="5265"/>
              </w:tabs>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10×PCR缓冲液</w:t>
            </w:r>
          </w:p>
        </w:tc>
        <w:tc>
          <w:tcPr>
            <w:tcW w:w="2637" w:type="dxa"/>
            <w:vAlign w:val="center"/>
          </w:tcPr>
          <w:p w14:paraId="2C405411">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637" w:type="dxa"/>
            <w:vAlign w:val="center"/>
          </w:tcPr>
          <w:p w14:paraId="7AD809C3">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µL</w:t>
            </w:r>
          </w:p>
        </w:tc>
      </w:tr>
      <w:tr w14:paraId="72E6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38D0B22D">
            <w:pPr>
              <w:tabs>
                <w:tab w:val="left" w:pos="5265"/>
              </w:tabs>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mmol/L氯化镁溶液</w:t>
            </w:r>
          </w:p>
        </w:tc>
        <w:tc>
          <w:tcPr>
            <w:tcW w:w="2637" w:type="dxa"/>
            <w:vAlign w:val="center"/>
          </w:tcPr>
          <w:p w14:paraId="04F0C573">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mmol/L</w:t>
            </w:r>
          </w:p>
        </w:tc>
        <w:tc>
          <w:tcPr>
            <w:tcW w:w="2637" w:type="dxa"/>
            <w:vAlign w:val="center"/>
          </w:tcPr>
          <w:p w14:paraId="1718E85D">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µL</w:t>
            </w:r>
          </w:p>
        </w:tc>
      </w:tr>
      <w:tr w14:paraId="57A6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4D698A9E">
            <w:pPr>
              <w:tabs>
                <w:tab w:val="left" w:pos="5265"/>
              </w:tabs>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dNTPs混合溶液（各2.5 mmol/L）</w:t>
            </w:r>
          </w:p>
        </w:tc>
        <w:tc>
          <w:tcPr>
            <w:tcW w:w="2637" w:type="dxa"/>
            <w:vAlign w:val="center"/>
          </w:tcPr>
          <w:p w14:paraId="44851E89">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0.2 mmol/L</w:t>
            </w:r>
          </w:p>
        </w:tc>
        <w:tc>
          <w:tcPr>
            <w:tcW w:w="2637" w:type="dxa"/>
            <w:vAlign w:val="center"/>
          </w:tcPr>
          <w:p w14:paraId="2EBBA855">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 µL</w:t>
            </w:r>
          </w:p>
        </w:tc>
      </w:tr>
      <w:tr w14:paraId="019B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3AD7782D">
            <w:pPr>
              <w:tabs>
                <w:tab w:val="left" w:pos="5265"/>
              </w:tabs>
              <w:wordWrap w:val="0"/>
              <w:overflowPunct w:val="0"/>
              <w:autoSpaceDE w:val="0"/>
              <w:autoSpaceDN w:val="0"/>
              <w:textAlignment w:val="baseline"/>
              <w:outlineLvl w:val="5"/>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µmol/L</w:t>
            </w:r>
            <w:r>
              <w:rPr>
                <w:rFonts w:hint="default" w:ascii="Times New Roman" w:hAnsi="Times New Roman" w:eastAsia="宋体" w:cs="Times New Roman"/>
                <w:kern w:val="0"/>
                <w:sz w:val="18"/>
                <w:szCs w:val="18"/>
              </w:rPr>
              <w:t>上游引物</w:t>
            </w:r>
          </w:p>
        </w:tc>
        <w:tc>
          <w:tcPr>
            <w:tcW w:w="2637" w:type="dxa"/>
            <w:vAlign w:val="center"/>
          </w:tcPr>
          <w:p w14:paraId="2C52AD55">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 µmol/L</w:t>
            </w:r>
          </w:p>
        </w:tc>
        <w:tc>
          <w:tcPr>
            <w:tcW w:w="2637" w:type="dxa"/>
            <w:vAlign w:val="center"/>
          </w:tcPr>
          <w:p w14:paraId="15D42C42">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µL</w:t>
            </w:r>
          </w:p>
        </w:tc>
      </w:tr>
      <w:tr w14:paraId="00F0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7A687381">
            <w:pPr>
              <w:tabs>
                <w:tab w:val="left" w:pos="5265"/>
              </w:tabs>
              <w:wordWrap w:val="0"/>
              <w:overflowPunct w:val="0"/>
              <w:autoSpaceDE w:val="0"/>
              <w:autoSpaceDN w:val="0"/>
              <w:textAlignment w:val="baseline"/>
              <w:outlineLvl w:val="5"/>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µmol/L下游引物</w:t>
            </w:r>
          </w:p>
        </w:tc>
        <w:tc>
          <w:tcPr>
            <w:tcW w:w="2637" w:type="dxa"/>
            <w:vAlign w:val="center"/>
          </w:tcPr>
          <w:p w14:paraId="76420AF4">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 µmol/L</w:t>
            </w:r>
          </w:p>
        </w:tc>
        <w:tc>
          <w:tcPr>
            <w:tcW w:w="2637" w:type="dxa"/>
            <w:vAlign w:val="center"/>
          </w:tcPr>
          <w:p w14:paraId="29403FEB">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µL</w:t>
            </w:r>
          </w:p>
        </w:tc>
      </w:tr>
      <w:tr w14:paraId="7105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0282E7FD">
            <w:pPr>
              <w:tabs>
                <w:tab w:val="left" w:pos="5265"/>
              </w:tabs>
              <w:wordWrap w:val="0"/>
              <w:overflowPunct w:val="0"/>
              <w:autoSpaceDE w:val="0"/>
              <w:autoSpaceDN w:val="0"/>
              <w:textAlignment w:val="baseline"/>
              <w:outlineLvl w:val="5"/>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µmol/L</w:t>
            </w:r>
            <w:r>
              <w:rPr>
                <w:rFonts w:hint="default" w:ascii="Times New Roman" w:hAnsi="Times New Roman" w:eastAsia="宋体" w:cs="Times New Roman"/>
                <w:bCs/>
                <w:sz w:val="18"/>
                <w:szCs w:val="18"/>
              </w:rPr>
              <w:t>探针</w:t>
            </w:r>
          </w:p>
        </w:tc>
        <w:tc>
          <w:tcPr>
            <w:tcW w:w="2637" w:type="dxa"/>
            <w:vAlign w:val="center"/>
          </w:tcPr>
          <w:p w14:paraId="45B77179">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0.2 µmol/L</w:t>
            </w:r>
          </w:p>
        </w:tc>
        <w:tc>
          <w:tcPr>
            <w:tcW w:w="2637" w:type="dxa"/>
            <w:vAlign w:val="center"/>
          </w:tcPr>
          <w:p w14:paraId="2E3D3435">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 µL</w:t>
            </w:r>
          </w:p>
        </w:tc>
      </w:tr>
      <w:tr w14:paraId="483C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7EA2AE0A">
            <w:pPr>
              <w:tabs>
                <w:tab w:val="left" w:pos="5265"/>
              </w:tabs>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i/>
                <w:sz w:val="18"/>
                <w:szCs w:val="18"/>
              </w:rPr>
              <w:t>Taq</w:t>
            </w:r>
            <w:r>
              <w:rPr>
                <w:rFonts w:hint="default" w:ascii="Times New Roman" w:hAnsi="Times New Roman" w:eastAsia="宋体" w:cs="Times New Roman"/>
                <w:sz w:val="18"/>
                <w:szCs w:val="18"/>
              </w:rPr>
              <w:t xml:space="preserve"> DNA聚合酶</w:t>
            </w:r>
          </w:p>
        </w:tc>
        <w:tc>
          <w:tcPr>
            <w:tcW w:w="2637" w:type="dxa"/>
            <w:vAlign w:val="center"/>
          </w:tcPr>
          <w:p w14:paraId="4F0476E5">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0.04 U/µL</w:t>
            </w:r>
          </w:p>
        </w:tc>
        <w:tc>
          <w:tcPr>
            <w:tcW w:w="2637" w:type="dxa"/>
            <w:vAlign w:val="center"/>
          </w:tcPr>
          <w:p w14:paraId="559326A9">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4782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25696400">
            <w:pPr>
              <w:tabs>
                <w:tab w:val="left" w:pos="5265"/>
              </w:tabs>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 mg/L DNA模板</w:t>
            </w:r>
          </w:p>
        </w:tc>
        <w:tc>
          <w:tcPr>
            <w:tcW w:w="2637" w:type="dxa"/>
            <w:vAlign w:val="center"/>
          </w:tcPr>
          <w:p w14:paraId="5A8184C0">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 mg/L</w:t>
            </w:r>
          </w:p>
        </w:tc>
        <w:tc>
          <w:tcPr>
            <w:tcW w:w="2637" w:type="dxa"/>
            <w:vAlign w:val="center"/>
          </w:tcPr>
          <w:p w14:paraId="45F00D96">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 µL</w:t>
            </w:r>
          </w:p>
        </w:tc>
      </w:tr>
      <w:tr w14:paraId="694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9" w:type="dxa"/>
            <w:vAlign w:val="center"/>
          </w:tcPr>
          <w:p w14:paraId="2E1DCA6A">
            <w:pPr>
              <w:tabs>
                <w:tab w:val="left" w:pos="5265"/>
              </w:tabs>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总体积</w:t>
            </w:r>
          </w:p>
        </w:tc>
        <w:tc>
          <w:tcPr>
            <w:tcW w:w="2637" w:type="dxa"/>
            <w:vAlign w:val="center"/>
          </w:tcPr>
          <w:p w14:paraId="1BF58CD8">
            <w:pPr>
              <w:tabs>
                <w:tab w:val="left" w:pos="5265"/>
              </w:tabs>
              <w:jc w:val="center"/>
              <w:rPr>
                <w:rFonts w:hint="default" w:ascii="Times New Roman" w:hAnsi="Times New Roman" w:eastAsia="宋体" w:cs="Times New Roman"/>
                <w:sz w:val="18"/>
                <w:szCs w:val="18"/>
              </w:rPr>
            </w:pPr>
          </w:p>
        </w:tc>
        <w:tc>
          <w:tcPr>
            <w:tcW w:w="2637" w:type="dxa"/>
            <w:vAlign w:val="center"/>
          </w:tcPr>
          <w:p w14:paraId="4BEF4A97">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 µL</w:t>
            </w:r>
          </w:p>
        </w:tc>
      </w:tr>
      <w:tr w14:paraId="4352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3" w:type="dxa"/>
            <w:gridSpan w:val="3"/>
            <w:vAlign w:val="center"/>
          </w:tcPr>
          <w:p w14:paraId="5E5ABB63">
            <w:pPr>
              <w:tabs>
                <w:tab w:val="left" w:pos="5265"/>
              </w:tabs>
              <w:ind w:firstLine="360" w:firstLineChars="200"/>
              <w:jc w:val="left"/>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“—”表示体积不确定，如果PCR缓冲液中含有氯化镁，则不加氯化镁溶液，根据</w:t>
            </w:r>
            <w:r>
              <w:rPr>
                <w:rFonts w:hint="default" w:ascii="Times New Roman" w:hAnsi="Times New Roman" w:eastAsia="宋体" w:cs="Times New Roman"/>
                <w:i/>
                <w:iCs/>
                <w:sz w:val="18"/>
                <w:szCs w:val="18"/>
              </w:rPr>
              <w:t>Taq</w:t>
            </w:r>
            <w:r>
              <w:rPr>
                <w:rFonts w:hint="default" w:ascii="Times New Roman" w:hAnsi="Times New Roman" w:eastAsia="宋体" w:cs="Times New Roman"/>
                <w:sz w:val="18"/>
                <w:szCs w:val="18"/>
              </w:rPr>
              <w:t xml:space="preserve"> DNA聚合酶的浓度确定其体积，并相应调整ddH</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O的体积，使反应体系总体积达到25.0 µL。</w:t>
            </w:r>
          </w:p>
          <w:p w14:paraId="01FAF589">
            <w:pPr>
              <w:tabs>
                <w:tab w:val="left" w:pos="5265"/>
              </w:tabs>
              <w:ind w:firstLine="360" w:firstLineChars="200"/>
              <w:outlineLvl w:val="5"/>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玉米内标准基因PCR扩增体系中，上、下游引物和探针分别为zSSII</w:t>
            </w:r>
            <w:r>
              <w:rPr>
                <w:rFonts w:hint="eastAsia" w:cs="Times New Roman"/>
                <w:bCs/>
                <w:sz w:val="18"/>
                <w:szCs w:val="18"/>
                <w:lang w:val="en-US" w:eastAsia="zh-CN"/>
              </w:rPr>
              <w:t>b</w:t>
            </w:r>
            <w:r>
              <w:rPr>
                <w:rFonts w:hint="default" w:ascii="Times New Roman" w:hAnsi="Times New Roman" w:eastAsia="宋体" w:cs="Times New Roman"/>
                <w:bCs/>
                <w:sz w:val="18"/>
                <w:szCs w:val="18"/>
              </w:rPr>
              <w:t>-3F、zSSII</w:t>
            </w:r>
            <w:r>
              <w:rPr>
                <w:rFonts w:hint="eastAsia" w:cs="Times New Roman"/>
                <w:bCs/>
                <w:sz w:val="18"/>
                <w:szCs w:val="18"/>
                <w:lang w:val="en-US" w:eastAsia="zh-CN"/>
              </w:rPr>
              <w:t>b</w:t>
            </w:r>
            <w:r>
              <w:rPr>
                <w:rFonts w:hint="default" w:ascii="Times New Roman" w:hAnsi="Times New Roman" w:eastAsia="宋体" w:cs="Times New Roman"/>
                <w:bCs/>
                <w:sz w:val="18"/>
                <w:szCs w:val="18"/>
              </w:rPr>
              <w:t>-4R和zSSII</w:t>
            </w:r>
            <w:r>
              <w:rPr>
                <w:rFonts w:hint="eastAsia" w:cs="Times New Roman"/>
                <w:bCs/>
                <w:sz w:val="18"/>
                <w:szCs w:val="18"/>
                <w:lang w:val="en-US" w:eastAsia="zh-CN"/>
              </w:rPr>
              <w:t>b</w:t>
            </w:r>
            <w:r>
              <w:rPr>
                <w:rFonts w:hint="default" w:ascii="Times New Roman" w:hAnsi="Times New Roman" w:eastAsia="宋体" w:cs="Times New Roman"/>
                <w:bCs/>
                <w:sz w:val="18"/>
                <w:szCs w:val="18"/>
              </w:rPr>
              <w:t>-P；</w:t>
            </w:r>
            <w:r>
              <w:rPr>
                <w:rFonts w:hint="eastAsia" w:cs="Times New Roman"/>
                <w:bCs/>
                <w:sz w:val="18"/>
                <w:szCs w:val="18"/>
                <w:lang w:eastAsia="zh-CN"/>
              </w:rPr>
              <w:t>QY2569-42</w:t>
            </w:r>
            <w:r>
              <w:rPr>
                <w:rFonts w:hint="default" w:ascii="Times New Roman" w:hAnsi="Times New Roman" w:eastAsia="宋体" w:cs="Times New Roman"/>
                <w:bCs/>
                <w:sz w:val="18"/>
                <w:szCs w:val="18"/>
              </w:rPr>
              <w:t>转化体特异性序列PCR扩增体系中，上、下游引物和探针分别为</w:t>
            </w:r>
            <w:r>
              <w:rPr>
                <w:rFonts w:hint="eastAsia" w:cs="Times New Roman"/>
                <w:bCs/>
                <w:sz w:val="18"/>
                <w:szCs w:val="18"/>
                <w:lang w:eastAsia="zh-CN"/>
              </w:rPr>
              <w:t>QY2569-42</w:t>
            </w:r>
            <w:r>
              <w:rPr>
                <w:rFonts w:hint="default" w:ascii="Times New Roman" w:hAnsi="Times New Roman" w:eastAsia="宋体" w:cs="Times New Roman"/>
                <w:bCs/>
                <w:sz w:val="18"/>
                <w:szCs w:val="18"/>
              </w:rPr>
              <w:t>-QF、</w:t>
            </w:r>
            <w:r>
              <w:rPr>
                <w:rFonts w:hint="eastAsia" w:cs="Times New Roman"/>
                <w:bCs/>
                <w:sz w:val="18"/>
                <w:szCs w:val="18"/>
                <w:lang w:eastAsia="zh-CN"/>
              </w:rPr>
              <w:t>QY2569-42</w:t>
            </w:r>
            <w:r>
              <w:rPr>
                <w:rFonts w:hint="default" w:ascii="Times New Roman" w:hAnsi="Times New Roman" w:eastAsia="宋体" w:cs="Times New Roman"/>
                <w:bCs/>
                <w:sz w:val="18"/>
                <w:szCs w:val="18"/>
              </w:rPr>
              <w:t>-QR和</w:t>
            </w:r>
            <w:r>
              <w:rPr>
                <w:rFonts w:hint="eastAsia" w:cs="Times New Roman"/>
                <w:bCs/>
                <w:sz w:val="18"/>
                <w:szCs w:val="18"/>
                <w:lang w:eastAsia="zh-CN"/>
              </w:rPr>
              <w:t>QY2569-42</w:t>
            </w:r>
            <w:r>
              <w:rPr>
                <w:rFonts w:hint="default" w:ascii="Times New Roman" w:hAnsi="Times New Roman" w:eastAsia="宋体" w:cs="Times New Roman"/>
                <w:bCs/>
                <w:sz w:val="18"/>
                <w:szCs w:val="18"/>
              </w:rPr>
              <w:t>-QP。</w:t>
            </w:r>
          </w:p>
          <w:p w14:paraId="1A947773">
            <w:pPr>
              <w:tabs>
                <w:tab w:val="left" w:pos="5265"/>
              </w:tabs>
              <w:ind w:firstLine="360" w:firstLineChars="200"/>
              <w:outlineLvl w:val="5"/>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反应扩增体系可根据仪器及试剂耗材的实际使用情况，进行相应调整。</w:t>
            </w:r>
          </w:p>
          <w:p w14:paraId="5B05AA33">
            <w:pPr>
              <w:tabs>
                <w:tab w:val="left" w:pos="5265"/>
              </w:tabs>
              <w:ind w:firstLine="360" w:firstLineChars="20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此表是1个反应体系的体积，应按照实际反应数量进行扩增体系配制。</w:t>
            </w:r>
          </w:p>
          <w:p w14:paraId="0D14A673">
            <w:pPr>
              <w:tabs>
                <w:tab w:val="left" w:pos="5265"/>
              </w:tabs>
              <w:ind w:firstLine="360" w:firstLineChars="20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空白质控品用2.0 µL的水作模板。</w:t>
            </w:r>
          </w:p>
        </w:tc>
      </w:tr>
    </w:tbl>
    <w:p w14:paraId="723B199F">
      <w:pPr>
        <w:rPr>
          <w:rFonts w:hint="default" w:ascii="Times New Roman" w:hAnsi="Times New Roman" w:eastAsia="宋体" w:cs="Times New Roman"/>
          <w:sz w:val="18"/>
          <w:szCs w:val="18"/>
        </w:rPr>
      </w:pPr>
    </w:p>
    <w:p w14:paraId="5F3DFFE1">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lang w:val="en-US" w:eastAsia="zh-CN"/>
        </w:rPr>
        <w:t>3. 特异性测试</w:t>
      </w:r>
    </w:p>
    <w:p w14:paraId="034836F3">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3.1 测试样品的设置</w:t>
      </w:r>
    </w:p>
    <w:p w14:paraId="06B68D69">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选用不同作物及其主要的商业化转化体对筛选出的引物探针组合进行特异性测试，样品设置包括3份质控品和6份试样，利用优化好的PCR扩增体系和反应程序进行检测，特异性测试样品如下：</w:t>
      </w:r>
    </w:p>
    <w:p w14:paraId="2867C7A2">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（1）空白质控品（以水作为空白质控品）</w:t>
      </w:r>
    </w:p>
    <w:p w14:paraId="51FC692B">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（2）阴性质控品（非转基因玉米）；</w:t>
      </w:r>
    </w:p>
    <w:p w14:paraId="2AD7ADA2">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（3）阳性质控品（转基因玉米</w:t>
      </w:r>
      <w:r>
        <w:rPr>
          <w:rFonts w:hint="eastAsia" w:cs="Calibri"/>
          <w:szCs w:val="22"/>
          <w:highlight w:val="none"/>
          <w:lang w:eastAsia="zh-CN"/>
        </w:rPr>
        <w:t>QY2569-42</w:t>
      </w:r>
      <w:r>
        <w:rPr>
          <w:rFonts w:ascii="Times New Roman" w:hAnsi="Times New Roman" w:cs="Calibri"/>
          <w:szCs w:val="22"/>
          <w:highlight w:val="none"/>
        </w:rPr>
        <w:t>，质量分数为1</w:t>
      </w:r>
      <w:r>
        <w:rPr>
          <w:rFonts w:hint="eastAsia" w:ascii="Times New Roman" w:hAnsi="Times New Roman" w:cs="Calibri"/>
          <w:szCs w:val="22"/>
          <w:highlight w:val="none"/>
          <w:lang w:val="en-US" w:eastAsia="zh-CN"/>
        </w:rPr>
        <w:t>00</w:t>
      </w:r>
      <w:r>
        <w:rPr>
          <w:rFonts w:ascii="Times New Roman" w:hAnsi="Times New Roman" w:cs="Calibri"/>
          <w:szCs w:val="22"/>
          <w:highlight w:val="none"/>
        </w:rPr>
        <w:t>%）；</w:t>
      </w:r>
    </w:p>
    <w:p w14:paraId="5ABBA699">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（4）其他转基因玉米混合样品（Bt11、Bt176、MON810、MON863、GA21、NK603、T25、TC1507、MON89034、MON88017、59122、MIR604、3272、MON87460、DAS40278-9、4114、MON87427、5307，含量各1%，以非转基因玉米为填充物）；</w:t>
      </w:r>
    </w:p>
    <w:p w14:paraId="71C24B94">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（5）转基因大豆混合样品（GTS40-3-2、MON89788、A5547-127、A2704-12、356043、305423、CV127、MON87701、MON87708、MON87769、MON87705、FG72、DAS81419-2，含量各1%，以非转基因大豆为填充物）；</w:t>
      </w:r>
    </w:p>
    <w:p w14:paraId="1588F93B">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（6）转基因棉花混合样品（MON1445、MON531、MON15985、LLCOTTON25、MON88913、GHB614、COT102，含量各1%，以非转基因棉花为填充物）；</w:t>
      </w:r>
    </w:p>
    <w:p w14:paraId="3812092E">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（7）转基因油菜混合样品（MS1、MS8、RF1、RF2、RF3、T45、Oxy235、Topas19/2、MON88302、73496，含量各1%，以非转基因油菜为填充物）；</w:t>
      </w:r>
    </w:p>
    <w:p w14:paraId="2FFE96D9">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（8）转基因水稻混合样品（TT51-1、KF-6、KMD-1、M12、KF-8、KF-2、G6H1、T1C-19，含量各1%，以非转基因水稻为填充物）；</w:t>
      </w:r>
    </w:p>
    <w:p w14:paraId="1E8A1B73">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（9）非转基因玉米混合样（非转基因玉米郑58、郑单958和京单28等量混合制成的1个样品）。</w:t>
      </w:r>
    </w:p>
    <w:p w14:paraId="35E7183A">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3.2 样品的特异性测试</w:t>
      </w:r>
    </w:p>
    <w:p w14:paraId="2D7ED53C">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仅从抗虫耐除草剂玉米</w:t>
      </w:r>
      <w:r>
        <w:rPr>
          <w:rFonts w:hint="eastAsia" w:cs="Calibri"/>
          <w:szCs w:val="22"/>
          <w:highlight w:val="none"/>
          <w:lang w:eastAsia="zh-CN"/>
        </w:rPr>
        <w:t>QY2569-42</w:t>
      </w:r>
      <w:r>
        <w:rPr>
          <w:rFonts w:ascii="Times New Roman" w:hAnsi="Times New Roman" w:cs="Calibri"/>
          <w:szCs w:val="22"/>
          <w:highlight w:val="none"/>
        </w:rPr>
        <w:t>转化体样品中获得预期的扩增曲线，而在其他样品中均未获得预期的扩增曲线（图</w:t>
      </w:r>
      <w:r>
        <w:rPr>
          <w:rFonts w:hint="eastAsia" w:cs="Calibri"/>
          <w:szCs w:val="22"/>
          <w:highlight w:val="none"/>
          <w:lang w:val="en-US" w:eastAsia="zh-CN"/>
        </w:rPr>
        <w:t>2-6</w:t>
      </w:r>
      <w:r>
        <w:rPr>
          <w:rFonts w:ascii="Times New Roman" w:hAnsi="Times New Roman" w:cs="Calibri"/>
          <w:szCs w:val="22"/>
          <w:highlight w:val="none"/>
        </w:rPr>
        <w:t>），说明引物/探针组合</w:t>
      </w:r>
      <w:r>
        <w:rPr>
          <w:rFonts w:hint="eastAsia" w:cs="Calibri"/>
          <w:szCs w:val="22"/>
          <w:highlight w:val="none"/>
          <w:lang w:eastAsia="zh-CN"/>
        </w:rPr>
        <w:t>QY2569-42</w:t>
      </w:r>
      <w:r>
        <w:rPr>
          <w:rFonts w:ascii="Times New Roman" w:hAnsi="Times New Roman" w:cs="Calibri"/>
          <w:szCs w:val="22"/>
          <w:highlight w:val="none"/>
        </w:rPr>
        <w:t>-QF/</w:t>
      </w:r>
      <w:r>
        <w:rPr>
          <w:rFonts w:hint="eastAsia" w:cs="Calibri"/>
          <w:szCs w:val="22"/>
          <w:highlight w:val="none"/>
          <w:lang w:eastAsia="zh-CN"/>
        </w:rPr>
        <w:t>QY2569-42</w:t>
      </w:r>
      <w:r>
        <w:rPr>
          <w:rFonts w:ascii="Times New Roman" w:hAnsi="Times New Roman" w:cs="Calibri"/>
          <w:szCs w:val="22"/>
          <w:highlight w:val="none"/>
        </w:rPr>
        <w:t>-QR/</w:t>
      </w:r>
      <w:r>
        <w:rPr>
          <w:rFonts w:hint="eastAsia" w:cs="Calibri"/>
          <w:szCs w:val="22"/>
          <w:highlight w:val="none"/>
          <w:lang w:eastAsia="zh-CN"/>
        </w:rPr>
        <w:t>QY2569-42</w:t>
      </w:r>
      <w:r>
        <w:rPr>
          <w:rFonts w:ascii="Times New Roman" w:hAnsi="Times New Roman" w:cs="Calibri"/>
          <w:szCs w:val="22"/>
          <w:highlight w:val="none"/>
        </w:rPr>
        <w:t>-QP具有良好的特异性，其扩增产物片段大小为</w:t>
      </w:r>
      <w:r>
        <w:rPr>
          <w:rFonts w:hint="eastAsia" w:cs="Calibri"/>
          <w:szCs w:val="22"/>
          <w:highlight w:val="none"/>
          <w:lang w:val="en-US" w:eastAsia="zh-CN"/>
        </w:rPr>
        <w:t>82</w:t>
      </w:r>
      <w:r>
        <w:rPr>
          <w:rFonts w:ascii="Times New Roman" w:hAnsi="Times New Roman" w:cs="Calibri"/>
          <w:szCs w:val="22"/>
          <w:highlight w:val="none"/>
        </w:rPr>
        <w:t xml:space="preserve"> bp。</w:t>
      </w:r>
    </w:p>
    <w:p w14:paraId="47B78B92">
      <w:pPr>
        <w:spacing w:line="360" w:lineRule="auto"/>
        <w:jc w:val="center"/>
        <w:rPr>
          <w:color w:val="auto"/>
          <w:highlight w:val="none"/>
        </w:rPr>
      </w:pPr>
      <w:r>
        <w:rPr>
          <w:rFonts w:hint="eastAsia"/>
          <w:lang w:val="en-US" w:eastAsia="zh-CN"/>
        </w:rPr>
        <w:t xml:space="preserve">   </w:t>
      </w:r>
    </w:p>
    <w:p w14:paraId="556F48D5">
      <w:pPr>
        <w:spacing w:line="360" w:lineRule="auto"/>
        <w:jc w:val="center"/>
        <w:rPr>
          <w:color w:val="auto"/>
          <w:highlight w:val="none"/>
        </w:rPr>
      </w:pPr>
      <w:r>
        <w:drawing>
          <wp:inline distT="0" distB="0" distL="114300" distR="114300">
            <wp:extent cx="4015740" cy="2520315"/>
            <wp:effectExtent l="0" t="0" r="0" b="0"/>
            <wp:docPr id="5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4"/>
                    <pic:cNvPicPr>
                      <a:picLocks noChangeAspect="1"/>
                    </pic:cNvPicPr>
                  </pic:nvPicPr>
                  <pic:blipFill>
                    <a:blip r:embed="rId13"/>
                    <a:stretch>
                      <a:fillRect/>
                    </a:stretch>
                  </pic:blipFill>
                  <pic:spPr>
                    <a:xfrm>
                      <a:off x="0" y="0"/>
                      <a:ext cx="4015740" cy="2520315"/>
                    </a:xfrm>
                    <a:prstGeom prst="rect">
                      <a:avLst/>
                    </a:prstGeom>
                    <a:noFill/>
                    <a:ln>
                      <a:noFill/>
                    </a:ln>
                  </pic:spPr>
                </pic:pic>
              </a:graphicData>
            </a:graphic>
          </wp:inline>
        </w:drawing>
      </w:r>
    </w:p>
    <w:p w14:paraId="302DC180">
      <w:pPr>
        <w:pStyle w:val="8"/>
        <w:keepNext w:val="0"/>
        <w:keepLines w:val="0"/>
        <w:pageBreakBefore w:val="0"/>
        <w:widowControl w:val="0"/>
        <w:kinsoku/>
        <w:wordWrap/>
        <w:overflowPunct/>
        <w:topLinePunct w:val="0"/>
        <w:autoSpaceDE/>
        <w:autoSpaceDN/>
        <w:bidi w:val="0"/>
        <w:adjustRightInd/>
        <w:snapToGrid/>
        <w:spacing w:line="312" w:lineRule="auto"/>
        <w:ind w:firstLine="0"/>
        <w:jc w:val="center"/>
        <w:textAlignment w:val="auto"/>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2-6</w:t>
      </w:r>
      <w:r>
        <w:rPr>
          <w:rFonts w:ascii="Times New Roman" w:hAnsi="Times New Roman" w:eastAsia="黑体" w:cs="Calibri"/>
          <w:sz w:val="18"/>
          <w:szCs w:val="22"/>
        </w:rPr>
        <w:t xml:space="preserve"> 方法特异性测试</w:t>
      </w:r>
    </w:p>
    <w:p w14:paraId="4EC56A58">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4. 靶标序列测序验证</w:t>
      </w:r>
    </w:p>
    <w:p w14:paraId="5DE29AF4">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对引物组合</w:t>
      </w:r>
      <w:r>
        <w:rPr>
          <w:rFonts w:hint="eastAsia" w:cs="Calibri"/>
          <w:szCs w:val="22"/>
          <w:highlight w:val="none"/>
          <w:lang w:eastAsia="zh-CN"/>
        </w:rPr>
        <w:t>QY2569-42</w:t>
      </w:r>
      <w:r>
        <w:rPr>
          <w:rFonts w:ascii="Times New Roman" w:hAnsi="Times New Roman" w:cs="Calibri"/>
          <w:szCs w:val="22"/>
          <w:highlight w:val="none"/>
        </w:rPr>
        <w:t>-QF/</w:t>
      </w:r>
      <w:r>
        <w:rPr>
          <w:rFonts w:hint="eastAsia" w:cs="Calibri"/>
          <w:szCs w:val="22"/>
          <w:highlight w:val="none"/>
          <w:lang w:eastAsia="zh-CN"/>
        </w:rPr>
        <w:t>QY2569-42</w:t>
      </w:r>
      <w:r>
        <w:rPr>
          <w:rFonts w:ascii="Times New Roman" w:hAnsi="Times New Roman" w:cs="Calibri"/>
          <w:szCs w:val="22"/>
          <w:highlight w:val="none"/>
        </w:rPr>
        <w:t>-QR/</w:t>
      </w:r>
      <w:r>
        <w:rPr>
          <w:rFonts w:hint="eastAsia" w:cs="Calibri"/>
          <w:szCs w:val="22"/>
          <w:highlight w:val="none"/>
          <w:lang w:eastAsia="zh-CN"/>
        </w:rPr>
        <w:t>QY2569-42</w:t>
      </w:r>
      <w:r>
        <w:rPr>
          <w:rFonts w:ascii="Times New Roman" w:hAnsi="Times New Roman" w:cs="Calibri"/>
          <w:szCs w:val="22"/>
          <w:highlight w:val="none"/>
        </w:rPr>
        <w:t>-QP扩增的片段进行克隆测序验证，序列比对结果与研发单位提供的分子特征信息一致，序列比对结果见图</w:t>
      </w:r>
      <w:r>
        <w:rPr>
          <w:rFonts w:hint="eastAsia" w:cs="Calibri"/>
          <w:szCs w:val="22"/>
          <w:highlight w:val="none"/>
          <w:lang w:val="en-US" w:eastAsia="zh-CN"/>
        </w:rPr>
        <w:t>2-7</w:t>
      </w:r>
      <w:r>
        <w:rPr>
          <w:rFonts w:ascii="Times New Roman" w:hAnsi="Times New Roman" w:cs="Calibri"/>
          <w:szCs w:val="22"/>
          <w:highlight w:val="none"/>
        </w:rPr>
        <w:t>。</w:t>
      </w:r>
    </w:p>
    <w:p w14:paraId="6085261E">
      <w:pPr>
        <w:spacing w:line="360" w:lineRule="auto"/>
        <w:ind w:firstLine="360"/>
        <w:jc w:val="center"/>
        <w:rPr>
          <w:color w:val="auto"/>
          <w:highlight w:val="none"/>
        </w:rPr>
      </w:pPr>
      <w:r>
        <w:drawing>
          <wp:inline distT="0" distB="0" distL="114300" distR="114300">
            <wp:extent cx="5010150" cy="1333500"/>
            <wp:effectExtent l="9525" t="9525" r="9525" b="9525"/>
            <wp:docPr id="4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7"/>
                    <pic:cNvPicPr>
                      <a:picLocks noChangeAspect="1"/>
                    </pic:cNvPicPr>
                  </pic:nvPicPr>
                  <pic:blipFill>
                    <a:blip r:embed="rId14"/>
                    <a:stretch>
                      <a:fillRect/>
                    </a:stretch>
                  </pic:blipFill>
                  <pic:spPr>
                    <a:xfrm>
                      <a:off x="0" y="0"/>
                      <a:ext cx="5010150" cy="1333500"/>
                    </a:xfrm>
                    <a:prstGeom prst="rect">
                      <a:avLst/>
                    </a:prstGeom>
                    <a:noFill/>
                    <a:ln>
                      <a:solidFill>
                        <a:schemeClr val="tx1"/>
                      </a:solidFill>
                    </a:ln>
                  </pic:spPr>
                </pic:pic>
              </a:graphicData>
            </a:graphic>
          </wp:inline>
        </w:drawing>
      </w:r>
    </w:p>
    <w:p w14:paraId="4F8F853B">
      <w:pPr>
        <w:pStyle w:val="8"/>
        <w:spacing w:line="312" w:lineRule="auto"/>
        <w:ind w:firstLine="422"/>
        <w:jc w:val="center"/>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2-7</w:t>
      </w:r>
      <w:r>
        <w:rPr>
          <w:rFonts w:ascii="Times New Roman" w:hAnsi="Times New Roman" w:eastAsia="黑体" w:cs="Calibri"/>
          <w:sz w:val="18"/>
          <w:szCs w:val="22"/>
        </w:rPr>
        <w:t xml:space="preserve"> 实时荧光PCR扩增产物测序验证</w:t>
      </w:r>
    </w:p>
    <w:p w14:paraId="2E6F692B">
      <w:pPr>
        <w:rPr>
          <w:rFonts w:ascii="Times New Roman" w:hAnsi="Times New Roman" w:eastAsia="黑体" w:cs="Calibri"/>
          <w:sz w:val="18"/>
          <w:szCs w:val="22"/>
        </w:rPr>
      </w:pPr>
    </w:p>
    <w:p w14:paraId="7ED1E697">
      <w:pPr>
        <w:spacing w:line="360" w:lineRule="auto"/>
        <w:ind w:firstLine="360"/>
        <w:rPr>
          <w:rFonts w:hint="eastAsia" w:cs="Calibri"/>
          <w:szCs w:val="22"/>
          <w:highlight w:val="none"/>
          <w:lang w:val="zh-CN" w:eastAsia="zh-CN"/>
        </w:rPr>
      </w:pPr>
      <w:r>
        <w:rPr>
          <w:rFonts w:ascii="Times New Roman" w:hAnsi="Times New Roman" w:cs="Calibri"/>
          <w:szCs w:val="22"/>
          <w:highlight w:val="none"/>
        </w:rPr>
        <w:t>实时荧光PCR扩增产物的靶标序列如下：</w:t>
      </w:r>
    </w:p>
    <w:p w14:paraId="7C6E062D">
      <w:pPr>
        <w:keepNext w:val="0"/>
        <w:keepLines w:val="0"/>
        <w:pageBreakBefore w:val="0"/>
        <w:widowControl w:val="0"/>
        <w:kinsoku/>
        <w:wordWrap/>
        <w:overflowPunct/>
        <w:topLinePunct w:val="0"/>
        <w:autoSpaceDE/>
        <w:autoSpaceDN/>
        <w:bidi w:val="0"/>
        <w:adjustRightInd/>
        <w:snapToGrid/>
        <w:spacing w:line="312" w:lineRule="auto"/>
        <w:ind w:left="105" w:leftChars="50" w:firstLine="420" w:firstLineChars="200"/>
        <w:textAlignment w:val="auto"/>
        <w:rPr>
          <w:rFonts w:hint="default" w:ascii="Courier New" w:hAnsi="Courier New" w:cs="Courier New"/>
          <w:szCs w:val="22"/>
          <w:highlight w:val="none"/>
          <w:lang w:val="zh-CN" w:eastAsia="zh-CN"/>
        </w:rPr>
      </w:pPr>
      <w:r>
        <w:rPr>
          <w:rFonts w:hint="default" w:ascii="Courier New" w:hAnsi="Courier New" w:cs="Courier New"/>
          <w:szCs w:val="22"/>
          <w:highlight w:val="none"/>
          <w:lang w:val="zh-CN" w:eastAsia="zh-CN"/>
        </w:rPr>
        <w:t xml:space="preserve">1  </w:t>
      </w:r>
      <w:r>
        <w:rPr>
          <w:rFonts w:hint="default" w:ascii="Courier New" w:hAnsi="Courier New" w:cs="Courier New"/>
          <w:szCs w:val="22"/>
          <w:highlight w:val="none"/>
          <w:u w:val="single"/>
          <w:lang w:val="zh-CN" w:eastAsia="zh-CN"/>
        </w:rPr>
        <w:t>TTAGCAGCTT GAGCTTGGAT CAG</w:t>
      </w:r>
      <w:r>
        <w:rPr>
          <w:rFonts w:hint="default" w:ascii="Courier New" w:hAnsi="Courier New" w:cs="Courier New"/>
          <w:szCs w:val="22"/>
          <w:highlight w:val="none"/>
          <w:bdr w:val="single" w:sz="4" w:space="0"/>
          <w:lang w:val="zh-CN" w:eastAsia="zh-CN"/>
        </w:rPr>
        <w:t>ATTGTCG TTTCCCGCCT TCAGTTT</w:t>
      </w:r>
      <w:r>
        <w:rPr>
          <w:rFonts w:hint="default" w:ascii="Courier New" w:hAnsi="Courier New" w:cs="Courier New"/>
          <w:szCs w:val="22"/>
          <w:highlight w:val="none"/>
          <w:lang w:val="zh-CN" w:eastAsia="zh-CN"/>
        </w:rPr>
        <w:t>AAA</w:t>
      </w:r>
    </w:p>
    <w:p w14:paraId="0DF7F47E">
      <w:pPr>
        <w:bidi w:val="0"/>
        <w:spacing w:line="312" w:lineRule="auto"/>
        <w:ind w:firstLine="420" w:firstLineChars="200"/>
        <w:rPr>
          <w:rFonts w:hint="default" w:ascii="Courier New" w:hAnsi="Courier New" w:cs="Courier New"/>
          <w:szCs w:val="22"/>
          <w:highlight w:val="none"/>
          <w:lang w:val="zh-CN" w:eastAsia="zh-CN"/>
        </w:rPr>
      </w:pPr>
      <w:r>
        <w:rPr>
          <w:rFonts w:hint="default" w:ascii="Courier New" w:hAnsi="Courier New" w:cs="Courier New"/>
          <w:szCs w:val="22"/>
          <w:highlight w:val="none"/>
          <w:lang w:val="zh-CN" w:eastAsia="zh-CN"/>
        </w:rPr>
        <w:t>51  CTACGCG</w:t>
      </w:r>
      <w:r>
        <w:rPr>
          <w:rFonts w:hint="default" w:ascii="Courier New" w:hAnsi="Courier New" w:cs="Courier New"/>
          <w:szCs w:val="22"/>
          <w:highlight w:val="none"/>
          <w:u w:val="single"/>
          <w:lang w:val="zh-CN" w:eastAsia="zh-CN"/>
        </w:rPr>
        <w:t>CGA ATTACAGTAT GGTTTAAAAC AT</w:t>
      </w:r>
    </w:p>
    <w:p w14:paraId="455A9274">
      <w:pPr>
        <w:pStyle w:val="22"/>
        <w:keepNext w:val="0"/>
        <w:keepLines w:val="0"/>
        <w:pageBreakBefore w:val="0"/>
        <w:widowControl/>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注1：</w:t>
      </w:r>
      <w:r>
        <w:rPr>
          <w:rFonts w:hint="default" w:ascii="Times New Roman" w:hAnsi="Times New Roman" w:eastAsia="宋体" w:cs="Times New Roman"/>
          <w:color w:val="auto"/>
          <w:kern w:val="2"/>
          <w:sz w:val="18"/>
          <w:szCs w:val="18"/>
          <w:highlight w:val="none"/>
          <w:lang w:val="en-US" w:eastAsia="zh-CN" w:bidi="ar-SA"/>
        </w:rPr>
        <w:t>该序列为</w:t>
      </w:r>
      <w:r>
        <w:rPr>
          <w:rFonts w:hint="eastAsia" w:ascii="Times New Roman" w:cs="Times New Roman"/>
          <w:color w:val="auto"/>
          <w:kern w:val="2"/>
          <w:sz w:val="18"/>
          <w:szCs w:val="18"/>
          <w:highlight w:val="none"/>
          <w:lang w:val="en-US" w:eastAsia="zh-CN" w:bidi="ar-SA"/>
        </w:rPr>
        <w:t>QY2569-42</w:t>
      </w:r>
      <w:r>
        <w:rPr>
          <w:rFonts w:hint="default" w:ascii="Times New Roman" w:hAnsi="Times New Roman" w:eastAsia="宋体" w:cs="Times New Roman"/>
          <w:color w:val="auto"/>
          <w:kern w:val="2"/>
          <w:sz w:val="18"/>
          <w:szCs w:val="18"/>
          <w:highlight w:val="none"/>
          <w:lang w:val="en-US" w:eastAsia="zh-CN" w:bidi="ar-SA"/>
        </w:rPr>
        <w:t>的3′端转化体特异性序列，序列方向为5′-3′。</w:t>
      </w:r>
    </w:p>
    <w:p w14:paraId="15570351">
      <w:pPr>
        <w:pStyle w:val="22"/>
        <w:keepNext w:val="0"/>
        <w:keepLines w:val="0"/>
        <w:pageBreakBefore w:val="0"/>
        <w:widowControl/>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kern w:val="0"/>
          <w:sz w:val="18"/>
          <w:szCs w:val="18"/>
          <w:highlight w:val="none"/>
          <w:lang w:val="en-US" w:eastAsia="zh-CN" w:bidi="ar-SA"/>
        </w:rPr>
        <w:t>注2：</w:t>
      </w:r>
      <w:r>
        <w:rPr>
          <w:rFonts w:hint="default" w:ascii="Times New Roman" w:hAnsi="Times New Roman" w:eastAsia="宋体" w:cs="Times New Roman"/>
          <w:color w:val="auto"/>
          <w:kern w:val="2"/>
          <w:sz w:val="18"/>
          <w:szCs w:val="18"/>
          <w:highlight w:val="none"/>
          <w:lang w:val="en-US" w:eastAsia="zh-CN" w:bidi="ar-SA"/>
        </w:rPr>
        <w:t>5′端单下划线部分为实时荧光PCR方法引物</w:t>
      </w:r>
      <w:r>
        <w:rPr>
          <w:rFonts w:hint="eastAsia" w:ascii="Times New Roman" w:cs="Times New Roman"/>
          <w:color w:val="auto"/>
          <w:kern w:val="2"/>
          <w:sz w:val="18"/>
          <w:szCs w:val="18"/>
          <w:highlight w:val="none"/>
          <w:lang w:val="it-IT" w:eastAsia="zh-CN" w:bidi="ar-SA"/>
        </w:rPr>
        <w:t>QY2569-42</w:t>
      </w:r>
      <w:r>
        <w:rPr>
          <w:rFonts w:hint="default" w:ascii="Times New Roman" w:hAnsi="Times New Roman" w:eastAsia="宋体" w:cs="Times New Roman"/>
          <w:color w:val="auto"/>
          <w:kern w:val="2"/>
          <w:sz w:val="18"/>
          <w:szCs w:val="18"/>
          <w:highlight w:val="none"/>
          <w:lang w:val="it-IT" w:eastAsia="zh-CN" w:bidi="ar-SA"/>
        </w:rPr>
        <w:t>-</w:t>
      </w:r>
      <w:r>
        <w:rPr>
          <w:rFonts w:hint="default" w:ascii="Times New Roman" w:hAnsi="Times New Roman" w:eastAsia="宋体" w:cs="Times New Roman"/>
          <w:color w:val="auto"/>
          <w:kern w:val="2"/>
          <w:sz w:val="18"/>
          <w:szCs w:val="18"/>
          <w:highlight w:val="none"/>
          <w:lang w:val="en-US" w:eastAsia="zh-CN" w:bidi="ar-SA"/>
        </w:rPr>
        <w:t>Q</w:t>
      </w:r>
      <w:r>
        <w:rPr>
          <w:rFonts w:hint="default" w:ascii="Times New Roman" w:hAnsi="Times New Roman" w:eastAsia="宋体" w:cs="Times New Roman"/>
          <w:color w:val="auto"/>
          <w:kern w:val="2"/>
          <w:sz w:val="18"/>
          <w:szCs w:val="18"/>
          <w:highlight w:val="none"/>
          <w:lang w:val="it-IT" w:eastAsia="zh-CN" w:bidi="ar-SA"/>
        </w:rPr>
        <w:t>F的</w:t>
      </w:r>
      <w:r>
        <w:rPr>
          <w:rFonts w:hint="default" w:ascii="Times New Roman" w:hAnsi="Times New Roman" w:eastAsia="宋体" w:cs="Times New Roman"/>
          <w:color w:val="auto"/>
          <w:kern w:val="2"/>
          <w:sz w:val="18"/>
          <w:szCs w:val="18"/>
          <w:highlight w:val="none"/>
          <w:lang w:val="en-US" w:eastAsia="zh-CN" w:bidi="ar-SA"/>
        </w:rPr>
        <w:t>序列，3′端单下划线部分为实时荧光PCR方法引物</w:t>
      </w:r>
      <w:r>
        <w:rPr>
          <w:rFonts w:hint="eastAsia" w:ascii="Times New Roman" w:cs="Times New Roman"/>
          <w:color w:val="auto"/>
          <w:kern w:val="2"/>
          <w:sz w:val="18"/>
          <w:szCs w:val="18"/>
          <w:highlight w:val="none"/>
          <w:lang w:val="it-IT" w:eastAsia="zh-CN" w:bidi="ar-SA"/>
        </w:rPr>
        <w:t>QY2569-42</w:t>
      </w:r>
      <w:r>
        <w:rPr>
          <w:rFonts w:hint="default" w:ascii="Times New Roman" w:hAnsi="Times New Roman" w:eastAsia="宋体" w:cs="Times New Roman"/>
          <w:color w:val="auto"/>
          <w:kern w:val="2"/>
          <w:sz w:val="18"/>
          <w:szCs w:val="18"/>
          <w:highlight w:val="none"/>
          <w:lang w:val="it-IT" w:eastAsia="zh-CN" w:bidi="ar-SA"/>
        </w:rPr>
        <w:t>-</w:t>
      </w:r>
      <w:r>
        <w:rPr>
          <w:rFonts w:hint="default" w:ascii="Times New Roman" w:hAnsi="Times New Roman" w:eastAsia="宋体" w:cs="Times New Roman"/>
          <w:color w:val="auto"/>
          <w:kern w:val="2"/>
          <w:sz w:val="18"/>
          <w:szCs w:val="18"/>
          <w:highlight w:val="none"/>
          <w:lang w:val="en-US" w:eastAsia="zh-CN" w:bidi="ar-SA"/>
        </w:rPr>
        <w:t>QR的反向互补序列，方框内部为实时荧光PCR方法探针</w:t>
      </w:r>
      <w:r>
        <w:rPr>
          <w:rFonts w:hint="eastAsia" w:ascii="Times New Roman" w:cs="Times New Roman"/>
          <w:color w:val="auto"/>
          <w:kern w:val="2"/>
          <w:sz w:val="18"/>
          <w:szCs w:val="18"/>
          <w:highlight w:val="none"/>
          <w:lang w:val="it-IT" w:eastAsia="zh-CN" w:bidi="ar-SA"/>
        </w:rPr>
        <w:t>QY2569-42</w:t>
      </w:r>
      <w:r>
        <w:rPr>
          <w:rFonts w:hint="default" w:ascii="Times New Roman" w:hAnsi="Times New Roman" w:eastAsia="宋体" w:cs="Times New Roman"/>
          <w:color w:val="auto"/>
          <w:kern w:val="2"/>
          <w:sz w:val="18"/>
          <w:szCs w:val="18"/>
          <w:highlight w:val="none"/>
          <w:lang w:val="it-IT" w:eastAsia="zh-CN" w:bidi="ar-SA"/>
        </w:rPr>
        <w:t>-</w:t>
      </w:r>
      <w:r>
        <w:rPr>
          <w:rFonts w:hint="default" w:ascii="Times New Roman" w:hAnsi="Times New Roman" w:eastAsia="宋体" w:cs="Times New Roman"/>
          <w:color w:val="auto"/>
          <w:kern w:val="2"/>
          <w:sz w:val="18"/>
          <w:szCs w:val="18"/>
          <w:highlight w:val="none"/>
          <w:lang w:val="en-US" w:eastAsia="zh-CN" w:bidi="ar-SA"/>
        </w:rPr>
        <w:t>QP的</w:t>
      </w:r>
      <w:r>
        <w:rPr>
          <w:rFonts w:hint="eastAsia" w:ascii="Times New Roman" w:cs="Times New Roman"/>
          <w:color w:val="auto"/>
          <w:kern w:val="2"/>
          <w:sz w:val="18"/>
          <w:szCs w:val="18"/>
          <w:highlight w:val="none"/>
          <w:lang w:val="en-US" w:eastAsia="zh-CN" w:bidi="ar-SA"/>
        </w:rPr>
        <w:t>反向互补</w:t>
      </w:r>
      <w:r>
        <w:rPr>
          <w:rFonts w:hint="default" w:ascii="Times New Roman" w:hAnsi="Times New Roman" w:eastAsia="宋体" w:cs="Times New Roman"/>
          <w:color w:val="auto"/>
          <w:kern w:val="2"/>
          <w:sz w:val="18"/>
          <w:szCs w:val="18"/>
          <w:highlight w:val="none"/>
          <w:lang w:val="en-US" w:eastAsia="zh-CN" w:bidi="ar-SA"/>
        </w:rPr>
        <w:t>序列。</w:t>
      </w:r>
      <w:bookmarkStart w:id="44" w:name="_GoBack"/>
      <w:bookmarkEnd w:id="44"/>
    </w:p>
    <w:p w14:paraId="329AAC58">
      <w:pPr>
        <w:keepNext w:val="0"/>
        <w:keepLines w:val="0"/>
        <w:pageBreakBefore w:val="0"/>
        <w:widowControl/>
        <w:tabs>
          <w:tab w:val="left" w:pos="960"/>
        </w:tabs>
        <w:kinsoku/>
        <w:wordWrap/>
        <w:overflowPunct/>
        <w:topLinePunct w:val="0"/>
        <w:autoSpaceDE w:val="0"/>
        <w:autoSpaceDN w:val="0"/>
        <w:bidi w:val="0"/>
        <w:adjustRightInd w:val="0"/>
        <w:snapToGrid/>
        <w:spacing w:line="240" w:lineRule="auto"/>
        <w:ind w:firstLine="360" w:firstLineChars="200"/>
        <w:jc w:val="left"/>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注3：</w:t>
      </w:r>
      <w:r>
        <w:rPr>
          <w:rFonts w:hint="default" w:ascii="Times New Roman" w:hAnsi="Times New Roman" w:eastAsia="宋体" w:cs="Times New Roman"/>
          <w:color w:val="auto"/>
          <w:kern w:val="2"/>
          <w:sz w:val="18"/>
          <w:szCs w:val="18"/>
          <w:highlight w:val="none"/>
          <w:lang w:val="en-US" w:eastAsia="zh-CN" w:bidi="ar-SA"/>
        </w:rPr>
        <w:t xml:space="preserve">1 ~ </w:t>
      </w:r>
      <w:r>
        <w:rPr>
          <w:rFonts w:hint="eastAsia" w:cs="Times New Roman"/>
          <w:color w:val="auto"/>
          <w:kern w:val="2"/>
          <w:sz w:val="18"/>
          <w:szCs w:val="18"/>
          <w:highlight w:val="none"/>
          <w:lang w:val="en-US" w:eastAsia="zh-CN" w:bidi="ar-SA"/>
        </w:rPr>
        <w:t>52</w:t>
      </w:r>
      <w:r>
        <w:rPr>
          <w:rFonts w:hint="default" w:ascii="Times New Roman" w:hAnsi="Times New Roman" w:eastAsia="宋体" w:cs="Times New Roman"/>
          <w:color w:val="auto"/>
          <w:kern w:val="2"/>
          <w:sz w:val="18"/>
          <w:szCs w:val="18"/>
          <w:highlight w:val="none"/>
          <w:lang w:val="en-US" w:eastAsia="zh-CN" w:bidi="ar-SA"/>
        </w:rPr>
        <w:t>为外源插入片段部分序列，</w:t>
      </w:r>
      <w:r>
        <w:rPr>
          <w:rFonts w:hint="eastAsia" w:cs="Times New Roman"/>
          <w:color w:val="auto"/>
          <w:kern w:val="2"/>
          <w:sz w:val="18"/>
          <w:szCs w:val="18"/>
          <w:highlight w:val="none"/>
          <w:lang w:val="en-US" w:eastAsia="zh-CN" w:bidi="ar-SA"/>
        </w:rPr>
        <w:t>53</w:t>
      </w:r>
      <w:r>
        <w:rPr>
          <w:rFonts w:hint="default"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82</w:t>
      </w:r>
      <w:r>
        <w:rPr>
          <w:rFonts w:hint="default" w:ascii="Times New Roman" w:hAnsi="Times New Roman" w:eastAsia="宋体" w:cs="Times New Roman"/>
          <w:color w:val="auto"/>
          <w:kern w:val="2"/>
          <w:sz w:val="18"/>
          <w:szCs w:val="18"/>
          <w:highlight w:val="none"/>
          <w:lang w:val="en-US" w:eastAsia="zh-CN" w:bidi="ar-SA"/>
        </w:rPr>
        <w:t>为玉米基因组部分序列。</w:t>
      </w:r>
    </w:p>
    <w:p w14:paraId="05774F16">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 检出限（LOD）的测试</w:t>
      </w:r>
    </w:p>
    <w:p w14:paraId="4FE73BCB">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5.1 检出限的要求</w:t>
      </w:r>
    </w:p>
    <w:p w14:paraId="08BABC16">
      <w:pPr>
        <w:bidi w:val="0"/>
        <w:spacing w:line="312" w:lineRule="auto"/>
        <w:ind w:firstLine="420" w:firstLineChars="200"/>
        <w:rPr>
          <w:rFonts w:ascii="Times New Roman" w:hAnsi="Times New Roman" w:cs="Calibri"/>
          <w:szCs w:val="22"/>
        </w:rPr>
      </w:pPr>
      <w:r>
        <w:rPr>
          <w:rFonts w:ascii="Times New Roman" w:hAnsi="Times New Roman" w:cs="Calibri"/>
          <w:szCs w:val="22"/>
        </w:rPr>
        <w:t>根据</w:t>
      </w:r>
      <w:r>
        <w:rPr>
          <w:rFonts w:hint="eastAsia" w:cs="Calibri"/>
          <w:szCs w:val="22"/>
          <w:lang w:eastAsia="zh-CN"/>
        </w:rPr>
        <w:t>农业部2259号公告—5—2015</w:t>
      </w:r>
      <w:r>
        <w:rPr>
          <w:rFonts w:ascii="Times New Roman" w:hAnsi="Times New Roman" w:cs="Calibri"/>
          <w:szCs w:val="22"/>
        </w:rPr>
        <w:t>等标准规定，转基因检测方法的检出限应不高于目标浓度（转基因的标识阈值）的1/20。由于我国目前法律尚未规定转基因的标识阈值，因此本方法制定时的目标浓度参考欧盟阈值0.9%，将目标浓度设定为1%，由此确定了检出限应不高于0.05%。</w:t>
      </w:r>
    </w:p>
    <w:p w14:paraId="35163507">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5.2 试验材料的选择</w:t>
      </w:r>
    </w:p>
    <w:p w14:paraId="678106D7">
      <w:pPr>
        <w:bidi w:val="0"/>
        <w:spacing w:line="312" w:lineRule="auto"/>
        <w:ind w:firstLine="420" w:firstLineChars="200"/>
        <w:rPr>
          <w:rFonts w:ascii="Times New Roman" w:hAnsi="Times New Roman" w:cs="Calibri"/>
          <w:szCs w:val="22"/>
        </w:rPr>
      </w:pPr>
      <w:r>
        <w:rPr>
          <w:rFonts w:ascii="Times New Roman" w:hAnsi="Times New Roman" w:cs="Calibri"/>
          <w:szCs w:val="22"/>
        </w:rPr>
        <w:t>用于检出限测试的试验材料，可选择有证标准物质或非有证标准物质（如：研发人提供的种子），分别按5.2.1或5.2.2执行。</w:t>
      </w:r>
    </w:p>
    <w:p w14:paraId="3647D4B4">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5.2.1 有证标准物质</w:t>
      </w:r>
    </w:p>
    <w:p w14:paraId="38252C5B">
      <w:pPr>
        <w:bidi w:val="0"/>
        <w:spacing w:line="312" w:lineRule="auto"/>
        <w:ind w:firstLine="420" w:firstLineChars="200"/>
        <w:rPr>
          <w:rFonts w:ascii="Times New Roman" w:hAnsi="Times New Roman" w:cs="Calibri"/>
          <w:szCs w:val="22"/>
        </w:rPr>
      </w:pPr>
      <w:r>
        <w:rPr>
          <w:rFonts w:ascii="Times New Roman" w:hAnsi="Times New Roman" w:cs="Calibri"/>
          <w:szCs w:val="22"/>
        </w:rPr>
        <w:t>若试验材料为基体或基因组DNA等有证标准物质，则按照有证标准物质证书的相关信息及要求使用。</w:t>
      </w:r>
    </w:p>
    <w:p w14:paraId="7F282BF3">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5.2.2 非有证标准物质</w:t>
      </w:r>
    </w:p>
    <w:p w14:paraId="6A242039">
      <w:pPr>
        <w:bidi w:val="0"/>
        <w:spacing w:line="312" w:lineRule="auto"/>
        <w:ind w:firstLine="420" w:firstLineChars="200"/>
        <w:rPr>
          <w:rFonts w:ascii="Times New Roman" w:hAnsi="Times New Roman" w:cs="Calibri"/>
          <w:szCs w:val="22"/>
        </w:rPr>
      </w:pPr>
      <w:r>
        <w:rPr>
          <w:rFonts w:ascii="Times New Roman" w:hAnsi="Times New Roman" w:cs="Calibri"/>
          <w:szCs w:val="22"/>
        </w:rPr>
        <w:t>若试验材料为研发人提供的种子等非有证标准物质，应先鉴定材料纯合性，尽可能选择纯合体作为试样，进行检出限测定。</w:t>
      </w:r>
    </w:p>
    <w:p w14:paraId="4E1B0245">
      <w:pPr>
        <w:bidi w:val="0"/>
        <w:spacing w:line="312" w:lineRule="auto"/>
        <w:ind w:firstLine="420" w:firstLineChars="200"/>
        <w:rPr>
          <w:rFonts w:ascii="Times New Roman" w:hAnsi="Times New Roman" w:cs="Calibri"/>
          <w:szCs w:val="22"/>
        </w:rPr>
      </w:pPr>
      <w:r>
        <w:rPr>
          <w:rFonts w:ascii="Times New Roman" w:hAnsi="Times New Roman" w:cs="Calibri"/>
          <w:szCs w:val="22"/>
        </w:rPr>
        <w:t>由于抗虫耐除草剂玉米</w:t>
      </w:r>
      <w:r>
        <w:rPr>
          <w:rFonts w:hint="eastAsia" w:cs="Calibri"/>
          <w:szCs w:val="22"/>
          <w:lang w:eastAsia="zh-CN"/>
        </w:rPr>
        <w:t>QY2569-42</w:t>
      </w:r>
      <w:r>
        <w:rPr>
          <w:rFonts w:ascii="Times New Roman" w:hAnsi="Times New Roman" w:cs="Calibri"/>
          <w:szCs w:val="22"/>
        </w:rPr>
        <w:t>没有有证标准物质，本标准选用研发人提供的纯合体种子作为试验材料，进行检出限测定。</w:t>
      </w:r>
    </w:p>
    <w:p w14:paraId="5A149DD3">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5.3 基因组DNA质量和拷贝数的换算关系</w:t>
      </w:r>
    </w:p>
    <w:p w14:paraId="178173DC">
      <w:pPr>
        <w:bidi w:val="0"/>
        <w:spacing w:line="312" w:lineRule="auto"/>
        <w:ind w:firstLine="420" w:firstLineChars="200"/>
        <w:rPr>
          <w:rFonts w:ascii="Times New Roman" w:hAnsi="Times New Roman" w:cs="Calibri"/>
          <w:szCs w:val="22"/>
        </w:rPr>
      </w:pPr>
      <w:r>
        <w:rPr>
          <w:rFonts w:ascii="Times New Roman" w:hAnsi="Times New Roman" w:cs="Calibri"/>
          <w:szCs w:val="22"/>
        </w:rPr>
        <w:t>转基因植物PCR检测方法的检出限与定量限通常使用检测目标DNA片段的拷贝数比值或拷贝数进行表示，但由于不同植物的基因组DNA大小不一致，需要将测试的DNA样品进行质量与拷贝数的换算，本标准使用以下公式进行样品质量与拷贝数的换算：</w:t>
      </w:r>
    </w:p>
    <w:p w14:paraId="4B6B9DFF">
      <w:pPr>
        <w:bidi w:val="0"/>
        <w:spacing w:line="312" w:lineRule="auto"/>
        <w:ind w:firstLine="420" w:firstLineChars="200"/>
        <w:rPr>
          <w:rFonts w:ascii="Times New Roman" w:hAnsi="Times New Roman" w:cs="Calibri"/>
          <w:szCs w:val="22"/>
        </w:rPr>
      </w:pPr>
      <w:r>
        <w:rPr>
          <w:rFonts w:ascii="Times New Roman" w:hAnsi="Times New Roman" w:cs="Calibri"/>
          <w:szCs w:val="22"/>
        </w:rPr>
        <w:t>样品中植物基因组拷贝数=样品DNA质量（g）×6.02×10</w:t>
      </w:r>
      <w:r>
        <w:rPr>
          <w:rFonts w:ascii="Times New Roman" w:hAnsi="Times New Roman" w:cs="Calibri"/>
          <w:szCs w:val="22"/>
          <w:vertAlign w:val="superscript"/>
        </w:rPr>
        <w:t>23</w:t>
      </w:r>
      <w:r>
        <w:rPr>
          <w:rFonts w:ascii="Times New Roman" w:hAnsi="Times New Roman" w:cs="Calibri"/>
          <w:szCs w:val="22"/>
        </w:rPr>
        <w:t>/（植物单倍体基因组的大小×324.5×2）</w:t>
      </w:r>
    </w:p>
    <w:p w14:paraId="77CC1A88">
      <w:pPr>
        <w:bidi w:val="0"/>
        <w:spacing w:line="312" w:lineRule="auto"/>
        <w:ind w:firstLine="420" w:firstLineChars="200"/>
        <w:rPr>
          <w:rFonts w:ascii="Times New Roman" w:hAnsi="Times New Roman" w:cs="Calibri"/>
          <w:szCs w:val="22"/>
        </w:rPr>
      </w:pPr>
      <w:r>
        <w:rPr>
          <w:rFonts w:ascii="Times New Roman" w:hAnsi="Times New Roman" w:cs="Calibri"/>
          <w:szCs w:val="22"/>
        </w:rPr>
        <w:t>本标准所用的材料为玉米，其参考单倍体基因组大小为2319 Mbp</w:t>
      </w:r>
      <w:r>
        <w:rPr>
          <w:rFonts w:ascii="Times New Roman" w:hAnsi="Times New Roman" w:cs="Calibri"/>
          <w:szCs w:val="22"/>
          <w:vertAlign w:val="superscript"/>
        </w:rPr>
        <w:t>[</w:t>
      </w:r>
      <w:r>
        <w:rPr>
          <w:rFonts w:hint="eastAsia" w:ascii="Times New Roman" w:hAnsi="Times New Roman" w:cs="Calibri"/>
          <w:szCs w:val="22"/>
          <w:vertAlign w:val="superscript"/>
          <w:lang w:val="en-US" w:eastAsia="zh-CN"/>
        </w:rPr>
        <w:t>7</w:t>
      </w:r>
      <w:r>
        <w:rPr>
          <w:rFonts w:ascii="Times New Roman" w:hAnsi="Times New Roman" w:cs="Calibri"/>
          <w:szCs w:val="22"/>
          <w:vertAlign w:val="superscript"/>
        </w:rPr>
        <w:t>]</w:t>
      </w:r>
      <w:r>
        <w:rPr>
          <w:rFonts w:ascii="Times New Roman" w:hAnsi="Times New Roman" w:cs="Calibri"/>
          <w:szCs w:val="22"/>
        </w:rPr>
        <w:t>，由此计算出1 ng的纯合玉米基因组DNA约含有400个拷贝的目标PCR产物片段。其他常见作物基因组DNA质量和拷贝数的换算关系见表</w:t>
      </w:r>
      <w:r>
        <w:rPr>
          <w:rFonts w:hint="eastAsia" w:cs="Calibri"/>
          <w:szCs w:val="22"/>
          <w:lang w:val="en-US" w:eastAsia="zh-CN"/>
        </w:rPr>
        <w:t>2-7</w:t>
      </w:r>
      <w:r>
        <w:rPr>
          <w:rFonts w:ascii="Times New Roman" w:hAnsi="Times New Roman" w:cs="Calibri"/>
          <w:szCs w:val="22"/>
        </w:rPr>
        <w:t>。</w:t>
      </w:r>
    </w:p>
    <w:p w14:paraId="1C91A4A8">
      <w:pPr>
        <w:pStyle w:val="8"/>
        <w:spacing w:line="312" w:lineRule="auto"/>
        <w:ind w:firstLine="422"/>
        <w:jc w:val="center"/>
        <w:rPr>
          <w:rFonts w:ascii="Times New Roman" w:hAnsi="Times New Roman" w:eastAsia="黑体" w:cs="Calibri"/>
          <w:sz w:val="18"/>
          <w:szCs w:val="22"/>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2-7</w:t>
      </w:r>
      <w:r>
        <w:rPr>
          <w:rFonts w:ascii="Times New Roman" w:hAnsi="Times New Roman" w:eastAsia="黑体" w:cs="Calibri"/>
          <w:sz w:val="18"/>
          <w:szCs w:val="22"/>
        </w:rPr>
        <w:t xml:space="preserve"> 常见作物基因组DNA质量和拷贝数的换算关系</w:t>
      </w:r>
    </w:p>
    <w:tbl>
      <w:tblPr>
        <w:tblStyle w:val="16"/>
        <w:tblW w:w="7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123"/>
        <w:gridCol w:w="1541"/>
        <w:gridCol w:w="2835"/>
        <w:gridCol w:w="1134"/>
      </w:tblGrid>
      <w:tr w14:paraId="61B8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97" w:type="dxa"/>
            <w:noWrap/>
            <w:vAlign w:val="center"/>
          </w:tcPr>
          <w:p w14:paraId="1A8E0A83">
            <w:pPr>
              <w:spacing w:line="240" w:lineRule="auto"/>
              <w:jc w:val="center"/>
              <w:outlineLvl w:val="1"/>
              <w:rPr>
                <w:rFonts w:hint="default" w:ascii="Times New Roman" w:hAnsi="Times New Roman" w:eastAsia="宋体" w:cs="Times New Roman"/>
                <w:b/>
                <w:bCs/>
                <w:sz w:val="18"/>
                <w:szCs w:val="18"/>
              </w:rPr>
            </w:pPr>
            <w:bookmarkStart w:id="15" w:name="_Toc30340"/>
            <w:r>
              <w:rPr>
                <w:rFonts w:hint="default" w:ascii="Times New Roman" w:hAnsi="Times New Roman" w:eastAsia="宋体" w:cs="Times New Roman"/>
                <w:b/>
                <w:bCs/>
                <w:sz w:val="18"/>
                <w:szCs w:val="18"/>
              </w:rPr>
              <w:t>序号</w:t>
            </w:r>
            <w:bookmarkEnd w:id="15"/>
          </w:p>
        </w:tc>
        <w:tc>
          <w:tcPr>
            <w:tcW w:w="1123" w:type="dxa"/>
            <w:noWrap/>
            <w:vAlign w:val="center"/>
          </w:tcPr>
          <w:p w14:paraId="4FE40840">
            <w:pPr>
              <w:spacing w:line="240" w:lineRule="auto"/>
              <w:jc w:val="center"/>
              <w:outlineLvl w:val="1"/>
              <w:rPr>
                <w:rFonts w:hint="default" w:ascii="Times New Roman" w:hAnsi="Times New Roman" w:eastAsia="宋体" w:cs="Times New Roman"/>
                <w:b/>
                <w:bCs/>
                <w:sz w:val="18"/>
                <w:szCs w:val="18"/>
              </w:rPr>
            </w:pPr>
            <w:bookmarkStart w:id="16" w:name="_Toc23493"/>
            <w:r>
              <w:rPr>
                <w:rFonts w:hint="default" w:ascii="Times New Roman" w:hAnsi="Times New Roman" w:eastAsia="宋体" w:cs="Times New Roman"/>
                <w:b/>
                <w:bCs/>
                <w:sz w:val="18"/>
                <w:szCs w:val="18"/>
              </w:rPr>
              <w:t>作物</w:t>
            </w:r>
            <w:bookmarkEnd w:id="16"/>
          </w:p>
        </w:tc>
        <w:tc>
          <w:tcPr>
            <w:tcW w:w="1541" w:type="dxa"/>
            <w:noWrap/>
            <w:vAlign w:val="center"/>
          </w:tcPr>
          <w:p w14:paraId="7E32E2BD">
            <w:pPr>
              <w:spacing w:line="240" w:lineRule="auto"/>
              <w:jc w:val="center"/>
              <w:outlineLvl w:val="1"/>
              <w:rPr>
                <w:rFonts w:hint="default" w:ascii="Times New Roman" w:hAnsi="Times New Roman" w:eastAsia="宋体" w:cs="Times New Roman"/>
                <w:b/>
                <w:bCs/>
                <w:sz w:val="18"/>
                <w:szCs w:val="18"/>
              </w:rPr>
            </w:pPr>
            <w:bookmarkStart w:id="17" w:name="_Toc12149"/>
            <w:r>
              <w:rPr>
                <w:rFonts w:hint="default" w:ascii="Times New Roman" w:hAnsi="Times New Roman" w:eastAsia="宋体" w:cs="Times New Roman"/>
                <w:b/>
                <w:bCs/>
                <w:sz w:val="18"/>
                <w:szCs w:val="18"/>
              </w:rPr>
              <w:t>基因组大小 Mbp</w:t>
            </w:r>
            <w:bookmarkEnd w:id="17"/>
          </w:p>
        </w:tc>
        <w:tc>
          <w:tcPr>
            <w:tcW w:w="2835" w:type="dxa"/>
            <w:noWrap/>
            <w:vAlign w:val="center"/>
          </w:tcPr>
          <w:p w14:paraId="441CE56F">
            <w:pPr>
              <w:spacing w:line="240" w:lineRule="auto"/>
              <w:jc w:val="center"/>
              <w:outlineLvl w:val="1"/>
              <w:rPr>
                <w:rFonts w:hint="default" w:ascii="Times New Roman" w:hAnsi="Times New Roman" w:eastAsia="宋体" w:cs="Times New Roman"/>
                <w:b/>
                <w:bCs/>
                <w:sz w:val="18"/>
                <w:szCs w:val="18"/>
              </w:rPr>
            </w:pPr>
            <w:bookmarkStart w:id="18" w:name="_Toc19838"/>
            <w:r>
              <w:rPr>
                <w:rFonts w:hint="default" w:ascii="Times New Roman" w:hAnsi="Times New Roman" w:eastAsia="宋体" w:cs="Times New Roman"/>
                <w:b/>
                <w:bCs/>
                <w:sz w:val="18"/>
                <w:szCs w:val="18"/>
              </w:rPr>
              <w:t>1 ng基因组DNA约含</w:t>
            </w:r>
            <w:bookmarkEnd w:id="18"/>
          </w:p>
          <w:p w14:paraId="17FD4781">
            <w:pPr>
              <w:spacing w:line="240" w:lineRule="auto"/>
              <w:jc w:val="center"/>
              <w:outlineLvl w:val="1"/>
              <w:rPr>
                <w:rFonts w:hint="default" w:ascii="Times New Roman" w:hAnsi="Times New Roman" w:eastAsia="宋体" w:cs="Times New Roman"/>
                <w:b/>
                <w:bCs/>
                <w:sz w:val="18"/>
                <w:szCs w:val="18"/>
              </w:rPr>
            </w:pPr>
            <w:bookmarkStart w:id="19" w:name="_Toc32198"/>
            <w:r>
              <w:rPr>
                <w:rFonts w:hint="default" w:ascii="Times New Roman" w:hAnsi="Times New Roman" w:eastAsia="宋体" w:cs="Times New Roman"/>
                <w:b/>
                <w:bCs/>
                <w:sz w:val="18"/>
                <w:szCs w:val="18"/>
              </w:rPr>
              <w:t>拷贝数copies</w:t>
            </w:r>
            <w:bookmarkEnd w:id="19"/>
          </w:p>
        </w:tc>
        <w:tc>
          <w:tcPr>
            <w:tcW w:w="1134" w:type="dxa"/>
            <w:noWrap/>
            <w:vAlign w:val="center"/>
          </w:tcPr>
          <w:p w14:paraId="72080B07">
            <w:pPr>
              <w:spacing w:line="240" w:lineRule="auto"/>
              <w:jc w:val="center"/>
              <w:outlineLvl w:val="1"/>
              <w:rPr>
                <w:rFonts w:hint="default" w:ascii="Times New Roman" w:hAnsi="Times New Roman" w:eastAsia="宋体" w:cs="Times New Roman"/>
                <w:b/>
                <w:bCs/>
                <w:sz w:val="18"/>
                <w:szCs w:val="18"/>
              </w:rPr>
            </w:pPr>
            <w:bookmarkStart w:id="20" w:name="_Toc3252"/>
            <w:r>
              <w:rPr>
                <w:rFonts w:hint="default" w:ascii="Times New Roman" w:hAnsi="Times New Roman" w:eastAsia="宋体" w:cs="Times New Roman"/>
                <w:b/>
                <w:bCs/>
                <w:sz w:val="18"/>
                <w:szCs w:val="18"/>
              </w:rPr>
              <w:t>纯合性</w:t>
            </w:r>
            <w:bookmarkEnd w:id="20"/>
          </w:p>
        </w:tc>
      </w:tr>
      <w:tr w14:paraId="5942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7" w:type="dxa"/>
            <w:noWrap/>
            <w:vAlign w:val="center"/>
          </w:tcPr>
          <w:p w14:paraId="630B449D">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123" w:type="dxa"/>
            <w:noWrap/>
            <w:vAlign w:val="center"/>
          </w:tcPr>
          <w:p w14:paraId="1141E142">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大豆</w:t>
            </w:r>
          </w:p>
        </w:tc>
        <w:tc>
          <w:tcPr>
            <w:tcW w:w="1541" w:type="dxa"/>
            <w:noWrap/>
            <w:vAlign w:val="center"/>
          </w:tcPr>
          <w:p w14:paraId="5B20D3B5">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1115</w:t>
            </w:r>
          </w:p>
        </w:tc>
        <w:tc>
          <w:tcPr>
            <w:tcW w:w="2835" w:type="dxa"/>
            <w:noWrap/>
            <w:vAlign w:val="center"/>
          </w:tcPr>
          <w:p w14:paraId="34227305">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832</w:t>
            </w:r>
          </w:p>
        </w:tc>
        <w:tc>
          <w:tcPr>
            <w:tcW w:w="1134" w:type="dxa"/>
            <w:noWrap/>
            <w:vAlign w:val="center"/>
          </w:tcPr>
          <w:p w14:paraId="366D01F2">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纯合</w:t>
            </w:r>
          </w:p>
        </w:tc>
      </w:tr>
      <w:tr w14:paraId="255C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7" w:type="dxa"/>
            <w:noWrap/>
            <w:vAlign w:val="center"/>
          </w:tcPr>
          <w:p w14:paraId="299F01EF">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123" w:type="dxa"/>
            <w:noWrap/>
            <w:vAlign w:val="center"/>
          </w:tcPr>
          <w:p w14:paraId="12D765AE">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玉米</w:t>
            </w:r>
          </w:p>
        </w:tc>
        <w:tc>
          <w:tcPr>
            <w:tcW w:w="1541" w:type="dxa"/>
            <w:noWrap/>
            <w:vAlign w:val="center"/>
          </w:tcPr>
          <w:p w14:paraId="0C442593">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2319</w:t>
            </w:r>
          </w:p>
        </w:tc>
        <w:tc>
          <w:tcPr>
            <w:tcW w:w="2835" w:type="dxa"/>
            <w:noWrap/>
            <w:vAlign w:val="center"/>
          </w:tcPr>
          <w:p w14:paraId="69DE61EA">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400</w:t>
            </w:r>
          </w:p>
        </w:tc>
        <w:tc>
          <w:tcPr>
            <w:tcW w:w="1134" w:type="dxa"/>
            <w:noWrap/>
            <w:vAlign w:val="center"/>
          </w:tcPr>
          <w:p w14:paraId="460DC8AB">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纯合</w:t>
            </w:r>
          </w:p>
        </w:tc>
      </w:tr>
      <w:tr w14:paraId="1B13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7" w:type="dxa"/>
            <w:noWrap/>
            <w:vAlign w:val="center"/>
          </w:tcPr>
          <w:p w14:paraId="49B167B1">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123" w:type="dxa"/>
            <w:noWrap/>
            <w:vAlign w:val="center"/>
          </w:tcPr>
          <w:p w14:paraId="16C5DB7E">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棉花</w:t>
            </w:r>
          </w:p>
        </w:tc>
        <w:tc>
          <w:tcPr>
            <w:tcW w:w="1541" w:type="dxa"/>
            <w:noWrap/>
            <w:vAlign w:val="center"/>
          </w:tcPr>
          <w:p w14:paraId="54A6BCCF">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2118</w:t>
            </w:r>
          </w:p>
        </w:tc>
        <w:tc>
          <w:tcPr>
            <w:tcW w:w="2835" w:type="dxa"/>
            <w:noWrap/>
            <w:vAlign w:val="center"/>
          </w:tcPr>
          <w:p w14:paraId="782FF536">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438</w:t>
            </w:r>
          </w:p>
        </w:tc>
        <w:tc>
          <w:tcPr>
            <w:tcW w:w="1134" w:type="dxa"/>
            <w:noWrap/>
            <w:vAlign w:val="center"/>
          </w:tcPr>
          <w:p w14:paraId="15A13611">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纯合</w:t>
            </w:r>
          </w:p>
        </w:tc>
      </w:tr>
      <w:tr w14:paraId="7C21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7" w:type="dxa"/>
            <w:noWrap/>
            <w:vAlign w:val="center"/>
          </w:tcPr>
          <w:p w14:paraId="148BD76D">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123" w:type="dxa"/>
            <w:noWrap/>
            <w:vAlign w:val="center"/>
          </w:tcPr>
          <w:p w14:paraId="5F609CBA">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水稻</w:t>
            </w:r>
          </w:p>
        </w:tc>
        <w:tc>
          <w:tcPr>
            <w:tcW w:w="1541" w:type="dxa"/>
            <w:noWrap/>
            <w:vAlign w:val="center"/>
          </w:tcPr>
          <w:p w14:paraId="6B9D54BC">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441</w:t>
            </w:r>
          </w:p>
        </w:tc>
        <w:tc>
          <w:tcPr>
            <w:tcW w:w="2835" w:type="dxa"/>
            <w:noWrap/>
            <w:vAlign w:val="center"/>
          </w:tcPr>
          <w:p w14:paraId="23868389">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2103</w:t>
            </w:r>
          </w:p>
        </w:tc>
        <w:tc>
          <w:tcPr>
            <w:tcW w:w="1134" w:type="dxa"/>
            <w:noWrap/>
            <w:vAlign w:val="center"/>
          </w:tcPr>
          <w:p w14:paraId="4602A67A">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纯合</w:t>
            </w:r>
          </w:p>
        </w:tc>
      </w:tr>
      <w:tr w14:paraId="198D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7" w:type="dxa"/>
            <w:noWrap/>
            <w:vAlign w:val="center"/>
          </w:tcPr>
          <w:p w14:paraId="26C1A3D1">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123" w:type="dxa"/>
            <w:noWrap/>
            <w:vAlign w:val="center"/>
          </w:tcPr>
          <w:p w14:paraId="545F5C69">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油菜</w:t>
            </w:r>
          </w:p>
        </w:tc>
        <w:tc>
          <w:tcPr>
            <w:tcW w:w="1541" w:type="dxa"/>
            <w:noWrap/>
            <w:vAlign w:val="center"/>
          </w:tcPr>
          <w:p w14:paraId="7FF0F3E0">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1182</w:t>
            </w:r>
          </w:p>
        </w:tc>
        <w:tc>
          <w:tcPr>
            <w:tcW w:w="2835" w:type="dxa"/>
            <w:noWrap/>
            <w:vAlign w:val="center"/>
          </w:tcPr>
          <w:p w14:paraId="150E3D7C">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785</w:t>
            </w:r>
          </w:p>
        </w:tc>
        <w:tc>
          <w:tcPr>
            <w:tcW w:w="1134" w:type="dxa"/>
            <w:noWrap/>
            <w:vAlign w:val="center"/>
          </w:tcPr>
          <w:p w14:paraId="7C5D6423">
            <w:pPr>
              <w:tabs>
                <w:tab w:val="left" w:pos="5265"/>
              </w:tabs>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纯合</w:t>
            </w:r>
          </w:p>
        </w:tc>
      </w:tr>
    </w:tbl>
    <w:p w14:paraId="31ED9DDC">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5.4 检出限的初步测试样品设定要求</w:t>
      </w:r>
    </w:p>
    <w:p w14:paraId="3DE556D5">
      <w:pPr>
        <w:bidi w:val="0"/>
        <w:spacing w:line="312" w:lineRule="auto"/>
        <w:ind w:firstLine="420" w:firstLineChars="200"/>
        <w:rPr>
          <w:rFonts w:hint="default" w:ascii="Times New Roman" w:hAnsi="Times New Roman" w:cs="Calibri"/>
          <w:szCs w:val="22"/>
        </w:rPr>
      </w:pPr>
      <w:r>
        <w:rPr>
          <w:rFonts w:hint="default" w:ascii="Times New Roman" w:hAnsi="Times New Roman" w:cs="Calibri"/>
          <w:szCs w:val="22"/>
        </w:rPr>
        <w:t>检出限测试时，样品的设置必须包含的6个样品：（1）转基因拷贝数含量为0.05%（相对含量）的测试样品；（2）转化体基因组DNA不高于20个拷贝（绝对含量）的测试样品；（3）转化体基因组DNA为1个拷贝的质控样品；（4）空白质控品；（5）阴性质控品；（6）其他样品浓度在1-20拷贝之间选择。</w:t>
      </w:r>
    </w:p>
    <w:p w14:paraId="7077ACA5">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5.5 测试样品的初始化浓度</w:t>
      </w:r>
    </w:p>
    <w:p w14:paraId="186FD00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cs="Calibri"/>
          <w:szCs w:val="22"/>
        </w:rPr>
        <w:t>将提取的</w:t>
      </w:r>
      <w:r>
        <w:rPr>
          <w:rFonts w:hint="eastAsia" w:cs="Calibri"/>
          <w:szCs w:val="22"/>
          <w:lang w:eastAsia="zh-CN"/>
        </w:rPr>
        <w:t>QY2569-42</w:t>
      </w:r>
      <w:r>
        <w:rPr>
          <w:rFonts w:hint="default" w:ascii="Times New Roman" w:hAnsi="Times New Roman" w:cs="Calibri"/>
          <w:szCs w:val="22"/>
        </w:rPr>
        <w:t>转化体基因组DNA用0.1×TE缓冲液稀释成50 ng/μL（并换算成拷贝数浓度</w:t>
      </w:r>
      <w:r>
        <w:rPr>
          <w:rFonts w:hint="eastAsia" w:cs="Calibri"/>
          <w:szCs w:val="22"/>
          <w:lang w:val="en-US" w:eastAsia="zh-CN"/>
        </w:rPr>
        <w:t>2</w:t>
      </w:r>
      <w:r>
        <w:rPr>
          <w:rFonts w:hint="default" w:ascii="Times New Roman" w:hAnsi="Times New Roman" w:cs="Calibri"/>
          <w:szCs w:val="22"/>
        </w:rPr>
        <w:t>0000 copies/μL），确保体系中加入2 μL样品后DNA模板量为100 ng。</w:t>
      </w:r>
    </w:p>
    <w:p w14:paraId="005AACE3">
      <w:pPr>
        <w:pStyle w:val="5"/>
        <w:bidi w:val="0"/>
        <w:spacing w:before="50" w:beforeLines="50" w:after="50" w:afterLines="50" w:line="240" w:lineRule="auto"/>
        <w:ind w:firstLine="420" w:firstLineChars="200"/>
        <w:rPr>
          <w:rFonts w:hint="default" w:ascii="Times New Roman" w:hAnsi="Times New Roman" w:eastAsia="黑体" w:cs="Calibri"/>
          <w:b w:val="0"/>
          <w:highlight w:val="none"/>
        </w:rPr>
      </w:pPr>
      <w:r>
        <w:rPr>
          <w:rFonts w:hint="default" w:ascii="Times New Roman" w:hAnsi="Times New Roman" w:eastAsia="黑体" w:cs="Calibri"/>
          <w:b w:val="0"/>
          <w:highlight w:val="none"/>
        </w:rPr>
        <w:t>5.6 检出限测试样品的配制、初步测试和初始化浓度测定值的准确性判断</w:t>
      </w:r>
    </w:p>
    <w:p w14:paraId="0680117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default" w:ascii="Times New Roman" w:hAnsi="Times New Roman" w:cs="Calibri"/>
          <w:szCs w:val="22"/>
        </w:rPr>
        <w:t>将50 ng/μL的</w:t>
      </w:r>
      <w:r>
        <w:rPr>
          <w:rFonts w:hint="eastAsia" w:cs="Calibri"/>
          <w:szCs w:val="22"/>
          <w:lang w:eastAsia="zh-CN"/>
        </w:rPr>
        <w:t>QY2569-42</w:t>
      </w:r>
      <w:r>
        <w:rPr>
          <w:rFonts w:hint="default" w:ascii="Times New Roman" w:hAnsi="Times New Roman" w:cs="Calibri"/>
          <w:szCs w:val="22"/>
        </w:rPr>
        <w:t>转化体基因组DNA，用50 ng/µL的非转基因玉米基因组DNA，梯度稀释成</w:t>
      </w:r>
      <w:r>
        <w:rPr>
          <w:rFonts w:hint="eastAsia" w:cs="Calibri"/>
          <w:szCs w:val="22"/>
          <w:lang w:eastAsia="zh-CN"/>
        </w:rPr>
        <w:t>QY2569-42</w:t>
      </w:r>
      <w:r>
        <w:rPr>
          <w:rFonts w:hint="default" w:ascii="Times New Roman" w:hAnsi="Times New Roman" w:cs="Calibri"/>
          <w:szCs w:val="22"/>
        </w:rPr>
        <w:t>转化体拷贝数比值为0.05%、0.025%、0.0125%、0.0025%共4个测试样品，对应的转化体拷贝数浓度为</w:t>
      </w:r>
      <w:r>
        <w:rPr>
          <w:rFonts w:hint="eastAsia" w:cs="Calibri"/>
          <w:szCs w:val="22"/>
          <w:lang w:val="en-US" w:eastAsia="zh-CN"/>
        </w:rPr>
        <w:t>20、</w:t>
      </w:r>
      <w:r>
        <w:rPr>
          <w:rFonts w:hint="default" w:ascii="Times New Roman" w:hAnsi="Times New Roman" w:cs="Calibri"/>
          <w:szCs w:val="22"/>
        </w:rPr>
        <w:t>10、5、2.5、0.5 copies/µL。反应体系中加入2 μL测试样品，每个测试样品至少进行10个反应，同时设置阴性质控品和空白质控品。</w:t>
      </w:r>
    </w:p>
    <w:p w14:paraId="039D1C4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default" w:ascii="Times New Roman" w:hAnsi="Times New Roman" w:cs="Calibri"/>
          <w:szCs w:val="22"/>
        </w:rPr>
        <w:t>模板浓度的准确性判断：若当模板量为1 copy时，10个反应中有2-5个阴性反应，表明梯度稀释的模板DNA浓度大致准确，否则重新进行DNA模板浓度测定及稀释。</w:t>
      </w:r>
    </w:p>
    <w:p w14:paraId="45F350C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cs="Calibri"/>
          <w:szCs w:val="22"/>
        </w:rPr>
        <w:t>测试结果显示，当模板量为1 copy时，10个反应中有</w:t>
      </w:r>
      <w:r>
        <w:rPr>
          <w:rFonts w:hint="eastAsia" w:cs="Calibri"/>
          <w:szCs w:val="22"/>
          <w:lang w:val="en-US" w:eastAsia="zh-CN"/>
        </w:rPr>
        <w:t>6</w:t>
      </w:r>
      <w:r>
        <w:rPr>
          <w:rFonts w:hint="default" w:ascii="Times New Roman" w:hAnsi="Times New Roman" w:cs="Calibri"/>
          <w:szCs w:val="22"/>
        </w:rPr>
        <w:t>个阳性反应，表明梯度稀释的模板DNA浓度大致准确；当模板量为20、10、5 copies时，10个反应均能得到典型扩增曲线（图</w:t>
      </w:r>
      <w:r>
        <w:rPr>
          <w:rFonts w:hint="eastAsia" w:cs="Calibri"/>
          <w:szCs w:val="22"/>
          <w:lang w:val="en-US" w:eastAsia="zh-CN"/>
        </w:rPr>
        <w:t>2-8</w:t>
      </w:r>
      <w:r>
        <w:rPr>
          <w:rFonts w:hint="eastAsia" w:ascii="Times New Roman" w:hAnsi="Times New Roman" w:cs="Calibri"/>
          <w:szCs w:val="22"/>
        </w:rPr>
        <w:t>和</w:t>
      </w:r>
      <w:r>
        <w:rPr>
          <w:rFonts w:hint="default" w:ascii="Times New Roman" w:hAnsi="Times New Roman" w:cs="Calibri"/>
          <w:szCs w:val="22"/>
        </w:rPr>
        <w:t>表</w:t>
      </w:r>
      <w:r>
        <w:rPr>
          <w:rFonts w:hint="eastAsia" w:cs="Calibri"/>
          <w:szCs w:val="22"/>
          <w:lang w:val="en-US" w:eastAsia="zh-CN"/>
        </w:rPr>
        <w:t>2-8</w:t>
      </w:r>
      <w:r>
        <w:rPr>
          <w:rFonts w:hint="default" w:ascii="Times New Roman" w:hAnsi="Times New Roman" w:cs="Calibri"/>
          <w:szCs w:val="22"/>
        </w:rPr>
        <w:t>）。</w:t>
      </w:r>
    </w:p>
    <w:p w14:paraId="670CDA34">
      <w:pPr>
        <w:jc w:val="center"/>
        <w:outlineLvl w:val="1"/>
        <w:rPr>
          <w:rFonts w:eastAsia="仿宋"/>
          <w:b/>
          <w:bCs/>
          <w:szCs w:val="21"/>
          <w:highlight w:val="none"/>
        </w:rPr>
      </w:pPr>
      <w:r>
        <w:rPr>
          <w:color w:val="auto"/>
          <w:highlight w:val="none"/>
        </w:rPr>
        <w:drawing>
          <wp:inline distT="0" distB="0" distL="114300" distR="114300">
            <wp:extent cx="3853180" cy="2166620"/>
            <wp:effectExtent l="0" t="0" r="1397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rcRect r="3702"/>
                    <a:stretch>
                      <a:fillRect/>
                    </a:stretch>
                  </pic:blipFill>
                  <pic:spPr>
                    <a:xfrm>
                      <a:off x="0" y="0"/>
                      <a:ext cx="3853180" cy="2166620"/>
                    </a:xfrm>
                    <a:prstGeom prst="rect">
                      <a:avLst/>
                    </a:prstGeom>
                  </pic:spPr>
                </pic:pic>
              </a:graphicData>
            </a:graphic>
          </wp:inline>
        </w:drawing>
      </w:r>
    </w:p>
    <w:p w14:paraId="2EB8C8A9">
      <w:pPr>
        <w:pStyle w:val="8"/>
        <w:spacing w:line="312" w:lineRule="auto"/>
        <w:ind w:firstLine="422"/>
        <w:jc w:val="center"/>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 xml:space="preserve">2-8 </w:t>
      </w:r>
      <w:r>
        <w:rPr>
          <w:rFonts w:ascii="Times New Roman" w:hAnsi="Times New Roman" w:eastAsia="黑体" w:cs="Calibri"/>
          <w:sz w:val="18"/>
          <w:szCs w:val="22"/>
        </w:rPr>
        <w:t>检出限初步测试</w:t>
      </w:r>
    </w:p>
    <w:p w14:paraId="0CE654A2">
      <w:pPr>
        <w:pStyle w:val="8"/>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ascii="Times New Roman" w:hAnsi="Times New Roman" w:eastAsia="黑体" w:cs="Calibri"/>
          <w:sz w:val="18"/>
          <w:szCs w:val="22"/>
        </w:rPr>
      </w:pPr>
    </w:p>
    <w:p w14:paraId="3CB353DB">
      <w:pPr>
        <w:pStyle w:val="8"/>
        <w:spacing w:line="312" w:lineRule="auto"/>
        <w:ind w:firstLine="422"/>
        <w:jc w:val="center"/>
        <w:rPr>
          <w:rFonts w:ascii="Times New Roman" w:hAnsi="Times New Roman" w:eastAsia="黑体" w:cs="Calibri"/>
          <w:sz w:val="18"/>
          <w:szCs w:val="22"/>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 xml:space="preserve">2-8 </w:t>
      </w:r>
      <w:r>
        <w:rPr>
          <w:rFonts w:ascii="Times New Roman" w:hAnsi="Times New Roman" w:eastAsia="黑体" w:cs="Calibri"/>
          <w:sz w:val="18"/>
          <w:szCs w:val="22"/>
        </w:rPr>
        <w:t>检出限初步测试</w:t>
      </w:r>
      <w:r>
        <w:rPr>
          <w:rFonts w:ascii="Times New Roman" w:hAnsi="Times New Roman" w:eastAsia="黑体" w:cs="Calibri"/>
          <w:i/>
          <w:iCs/>
          <w:sz w:val="18"/>
          <w:szCs w:val="22"/>
        </w:rPr>
        <w:t>Ct</w:t>
      </w:r>
      <w:r>
        <w:rPr>
          <w:rFonts w:ascii="Times New Roman" w:hAnsi="Times New Roman" w:eastAsia="黑体" w:cs="Calibri"/>
          <w:sz w:val="18"/>
          <w:szCs w:val="22"/>
        </w:rPr>
        <w:t>值</w:t>
      </w:r>
    </w:p>
    <w:tbl>
      <w:tblPr>
        <w:tblStyle w:val="17"/>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801"/>
        <w:gridCol w:w="801"/>
        <w:gridCol w:w="801"/>
        <w:gridCol w:w="801"/>
        <w:gridCol w:w="801"/>
        <w:gridCol w:w="801"/>
        <w:gridCol w:w="801"/>
        <w:gridCol w:w="801"/>
        <w:gridCol w:w="801"/>
        <w:gridCol w:w="805"/>
      </w:tblGrid>
      <w:tr w14:paraId="240C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dxa"/>
            <w:vMerge w:val="restart"/>
            <w:vAlign w:val="center"/>
          </w:tcPr>
          <w:p w14:paraId="2676F59B">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sz w:val="18"/>
                <w:szCs w:val="18"/>
                <w:highlight w:val="none"/>
              </w:rPr>
              <w:t>模板量</w:t>
            </w:r>
          </w:p>
        </w:tc>
        <w:tc>
          <w:tcPr>
            <w:tcW w:w="8014" w:type="dxa"/>
            <w:gridSpan w:val="10"/>
          </w:tcPr>
          <w:p w14:paraId="3EE4EEAE">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i/>
                <w:iCs/>
                <w:sz w:val="18"/>
                <w:szCs w:val="18"/>
                <w:highlight w:val="none"/>
              </w:rPr>
              <w:t>Ct</w:t>
            </w:r>
            <w:r>
              <w:rPr>
                <w:rFonts w:hint="default" w:ascii="Times New Roman" w:hAnsi="Times New Roman" w:eastAsia="宋体" w:cs="Times New Roman"/>
                <w:b/>
                <w:sz w:val="18"/>
                <w:szCs w:val="18"/>
                <w:highlight w:val="none"/>
              </w:rPr>
              <w:t>值</w:t>
            </w:r>
          </w:p>
        </w:tc>
      </w:tr>
      <w:tr w14:paraId="77F9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dxa"/>
            <w:vMerge w:val="continue"/>
          </w:tcPr>
          <w:p w14:paraId="71ABB0D0">
            <w:pPr>
              <w:jc w:val="center"/>
              <w:rPr>
                <w:rFonts w:hint="default" w:ascii="Times New Roman" w:hAnsi="Times New Roman" w:eastAsia="宋体" w:cs="Times New Roman"/>
                <w:b/>
                <w:sz w:val="18"/>
                <w:szCs w:val="18"/>
                <w:highlight w:val="none"/>
              </w:rPr>
            </w:pPr>
          </w:p>
        </w:tc>
        <w:tc>
          <w:tcPr>
            <w:tcW w:w="801" w:type="dxa"/>
          </w:tcPr>
          <w:p w14:paraId="6F167B90">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1</w:t>
            </w:r>
          </w:p>
        </w:tc>
        <w:tc>
          <w:tcPr>
            <w:tcW w:w="801" w:type="dxa"/>
          </w:tcPr>
          <w:p w14:paraId="60582A60">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2</w:t>
            </w:r>
          </w:p>
        </w:tc>
        <w:tc>
          <w:tcPr>
            <w:tcW w:w="801" w:type="dxa"/>
          </w:tcPr>
          <w:p w14:paraId="17A04EAA">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3</w:t>
            </w:r>
          </w:p>
        </w:tc>
        <w:tc>
          <w:tcPr>
            <w:tcW w:w="801" w:type="dxa"/>
          </w:tcPr>
          <w:p w14:paraId="573135E0">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4</w:t>
            </w:r>
          </w:p>
        </w:tc>
        <w:tc>
          <w:tcPr>
            <w:tcW w:w="801" w:type="dxa"/>
          </w:tcPr>
          <w:p w14:paraId="007D96A3">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5</w:t>
            </w:r>
          </w:p>
        </w:tc>
        <w:tc>
          <w:tcPr>
            <w:tcW w:w="801" w:type="dxa"/>
          </w:tcPr>
          <w:p w14:paraId="496B9944">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6</w:t>
            </w:r>
          </w:p>
        </w:tc>
        <w:tc>
          <w:tcPr>
            <w:tcW w:w="801" w:type="dxa"/>
          </w:tcPr>
          <w:p w14:paraId="07E9EE71">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7</w:t>
            </w:r>
          </w:p>
        </w:tc>
        <w:tc>
          <w:tcPr>
            <w:tcW w:w="801" w:type="dxa"/>
          </w:tcPr>
          <w:p w14:paraId="340EFA78">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8</w:t>
            </w:r>
          </w:p>
        </w:tc>
        <w:tc>
          <w:tcPr>
            <w:tcW w:w="801" w:type="dxa"/>
          </w:tcPr>
          <w:p w14:paraId="69E54812">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9</w:t>
            </w:r>
          </w:p>
        </w:tc>
        <w:tc>
          <w:tcPr>
            <w:tcW w:w="805" w:type="dxa"/>
          </w:tcPr>
          <w:p w14:paraId="3312B145">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10</w:t>
            </w:r>
          </w:p>
        </w:tc>
      </w:tr>
      <w:tr w14:paraId="0390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dxa"/>
            <w:vAlign w:val="center"/>
          </w:tcPr>
          <w:p w14:paraId="2003A483">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20拷贝</w:t>
            </w:r>
          </w:p>
        </w:tc>
        <w:tc>
          <w:tcPr>
            <w:tcW w:w="801" w:type="dxa"/>
            <w:shd w:val="clear" w:color="auto" w:fill="auto"/>
            <w:vAlign w:val="bottom"/>
          </w:tcPr>
          <w:p w14:paraId="65B44BC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35.995</w:t>
            </w:r>
          </w:p>
        </w:tc>
        <w:tc>
          <w:tcPr>
            <w:tcW w:w="801" w:type="dxa"/>
            <w:shd w:val="clear" w:color="auto" w:fill="auto"/>
            <w:vAlign w:val="bottom"/>
          </w:tcPr>
          <w:p w14:paraId="31D95B7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35.677</w:t>
            </w:r>
          </w:p>
        </w:tc>
        <w:tc>
          <w:tcPr>
            <w:tcW w:w="801" w:type="dxa"/>
            <w:shd w:val="clear" w:color="auto" w:fill="auto"/>
            <w:vAlign w:val="bottom"/>
          </w:tcPr>
          <w:p w14:paraId="2C73646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35.896</w:t>
            </w:r>
          </w:p>
        </w:tc>
        <w:tc>
          <w:tcPr>
            <w:tcW w:w="801" w:type="dxa"/>
            <w:shd w:val="clear" w:color="auto" w:fill="auto"/>
            <w:vAlign w:val="bottom"/>
          </w:tcPr>
          <w:p w14:paraId="1E149F0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35.325</w:t>
            </w:r>
          </w:p>
        </w:tc>
        <w:tc>
          <w:tcPr>
            <w:tcW w:w="801" w:type="dxa"/>
            <w:shd w:val="clear" w:color="auto" w:fill="auto"/>
            <w:vAlign w:val="bottom"/>
          </w:tcPr>
          <w:p w14:paraId="3BB5A77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35.660</w:t>
            </w:r>
          </w:p>
        </w:tc>
        <w:tc>
          <w:tcPr>
            <w:tcW w:w="801" w:type="dxa"/>
            <w:shd w:val="clear" w:color="auto" w:fill="auto"/>
            <w:vAlign w:val="bottom"/>
          </w:tcPr>
          <w:p w14:paraId="402D1B6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35.998</w:t>
            </w:r>
          </w:p>
        </w:tc>
        <w:tc>
          <w:tcPr>
            <w:tcW w:w="801" w:type="dxa"/>
            <w:shd w:val="clear" w:color="auto" w:fill="auto"/>
            <w:vAlign w:val="bottom"/>
          </w:tcPr>
          <w:p w14:paraId="4900151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36.337</w:t>
            </w:r>
          </w:p>
        </w:tc>
        <w:tc>
          <w:tcPr>
            <w:tcW w:w="801" w:type="dxa"/>
            <w:shd w:val="clear" w:color="auto" w:fill="auto"/>
            <w:vAlign w:val="bottom"/>
          </w:tcPr>
          <w:p w14:paraId="35BAB15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35.131</w:t>
            </w:r>
          </w:p>
        </w:tc>
        <w:tc>
          <w:tcPr>
            <w:tcW w:w="801" w:type="dxa"/>
            <w:shd w:val="clear" w:color="auto" w:fill="auto"/>
            <w:vAlign w:val="bottom"/>
          </w:tcPr>
          <w:p w14:paraId="6C6B5DD8">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35.450</w:t>
            </w:r>
          </w:p>
        </w:tc>
        <w:tc>
          <w:tcPr>
            <w:tcW w:w="805" w:type="dxa"/>
            <w:shd w:val="clear" w:color="auto" w:fill="auto"/>
            <w:vAlign w:val="bottom"/>
          </w:tcPr>
          <w:p w14:paraId="3BB9012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35.810</w:t>
            </w:r>
          </w:p>
        </w:tc>
      </w:tr>
      <w:tr w14:paraId="24AC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dxa"/>
            <w:vAlign w:val="center"/>
          </w:tcPr>
          <w:p w14:paraId="1270FE1D">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10拷贝</w:t>
            </w:r>
          </w:p>
        </w:tc>
        <w:tc>
          <w:tcPr>
            <w:tcW w:w="801" w:type="dxa"/>
            <w:shd w:val="clear" w:color="auto" w:fill="auto"/>
            <w:vAlign w:val="bottom"/>
          </w:tcPr>
          <w:p w14:paraId="67700E8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37.125</w:t>
            </w:r>
          </w:p>
        </w:tc>
        <w:tc>
          <w:tcPr>
            <w:tcW w:w="801" w:type="dxa"/>
            <w:shd w:val="clear" w:color="auto" w:fill="auto"/>
            <w:vAlign w:val="bottom"/>
          </w:tcPr>
          <w:p w14:paraId="41A4FFB8">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37.300</w:t>
            </w:r>
          </w:p>
        </w:tc>
        <w:tc>
          <w:tcPr>
            <w:tcW w:w="801" w:type="dxa"/>
            <w:shd w:val="clear" w:color="auto" w:fill="auto"/>
            <w:vAlign w:val="bottom"/>
          </w:tcPr>
          <w:p w14:paraId="31E9353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36.450</w:t>
            </w:r>
          </w:p>
        </w:tc>
        <w:tc>
          <w:tcPr>
            <w:tcW w:w="801" w:type="dxa"/>
            <w:shd w:val="clear" w:color="auto" w:fill="auto"/>
            <w:vAlign w:val="bottom"/>
          </w:tcPr>
          <w:p w14:paraId="00B79F0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36.310</w:t>
            </w:r>
          </w:p>
        </w:tc>
        <w:tc>
          <w:tcPr>
            <w:tcW w:w="801" w:type="dxa"/>
            <w:shd w:val="clear" w:color="auto" w:fill="auto"/>
            <w:vAlign w:val="bottom"/>
          </w:tcPr>
          <w:p w14:paraId="7A2E4F7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36.113</w:t>
            </w:r>
          </w:p>
        </w:tc>
        <w:tc>
          <w:tcPr>
            <w:tcW w:w="801" w:type="dxa"/>
            <w:shd w:val="clear" w:color="auto" w:fill="auto"/>
            <w:vAlign w:val="bottom"/>
          </w:tcPr>
          <w:p w14:paraId="1524114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37.279</w:t>
            </w:r>
          </w:p>
        </w:tc>
        <w:tc>
          <w:tcPr>
            <w:tcW w:w="801" w:type="dxa"/>
            <w:shd w:val="clear" w:color="auto" w:fill="auto"/>
            <w:vAlign w:val="bottom"/>
          </w:tcPr>
          <w:p w14:paraId="79E17EB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36.785</w:t>
            </w:r>
          </w:p>
        </w:tc>
        <w:tc>
          <w:tcPr>
            <w:tcW w:w="801" w:type="dxa"/>
            <w:shd w:val="clear" w:color="auto" w:fill="auto"/>
            <w:vAlign w:val="bottom"/>
          </w:tcPr>
          <w:p w14:paraId="62D61A8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36.234</w:t>
            </w:r>
          </w:p>
        </w:tc>
        <w:tc>
          <w:tcPr>
            <w:tcW w:w="801" w:type="dxa"/>
            <w:shd w:val="clear" w:color="auto" w:fill="auto"/>
            <w:vAlign w:val="bottom"/>
          </w:tcPr>
          <w:p w14:paraId="216C72C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37.175</w:t>
            </w:r>
          </w:p>
        </w:tc>
        <w:tc>
          <w:tcPr>
            <w:tcW w:w="805" w:type="dxa"/>
            <w:shd w:val="clear" w:color="auto" w:fill="auto"/>
            <w:vAlign w:val="bottom"/>
          </w:tcPr>
          <w:p w14:paraId="6811C23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36.993</w:t>
            </w:r>
          </w:p>
        </w:tc>
      </w:tr>
      <w:tr w14:paraId="1C2D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dxa"/>
            <w:vAlign w:val="center"/>
          </w:tcPr>
          <w:p w14:paraId="5381ED56">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5拷贝</w:t>
            </w:r>
          </w:p>
        </w:tc>
        <w:tc>
          <w:tcPr>
            <w:tcW w:w="801" w:type="dxa"/>
            <w:shd w:val="clear" w:color="auto" w:fill="auto"/>
            <w:vAlign w:val="bottom"/>
          </w:tcPr>
          <w:p w14:paraId="20D4254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38.439</w:t>
            </w:r>
          </w:p>
        </w:tc>
        <w:tc>
          <w:tcPr>
            <w:tcW w:w="801" w:type="dxa"/>
            <w:shd w:val="clear" w:color="auto" w:fill="auto"/>
            <w:vAlign w:val="bottom"/>
          </w:tcPr>
          <w:p w14:paraId="342EE4F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37.309</w:t>
            </w:r>
          </w:p>
        </w:tc>
        <w:tc>
          <w:tcPr>
            <w:tcW w:w="801" w:type="dxa"/>
            <w:shd w:val="clear" w:color="auto" w:fill="auto"/>
            <w:vAlign w:val="bottom"/>
          </w:tcPr>
          <w:p w14:paraId="2D330DF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37.232</w:t>
            </w:r>
          </w:p>
        </w:tc>
        <w:tc>
          <w:tcPr>
            <w:tcW w:w="801" w:type="dxa"/>
            <w:shd w:val="clear" w:color="auto" w:fill="auto"/>
            <w:vAlign w:val="bottom"/>
          </w:tcPr>
          <w:p w14:paraId="64BE38E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36.820</w:t>
            </w:r>
          </w:p>
        </w:tc>
        <w:tc>
          <w:tcPr>
            <w:tcW w:w="801" w:type="dxa"/>
            <w:shd w:val="clear" w:color="auto" w:fill="auto"/>
            <w:vAlign w:val="bottom"/>
          </w:tcPr>
          <w:p w14:paraId="4719735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36.840</w:t>
            </w:r>
          </w:p>
        </w:tc>
        <w:tc>
          <w:tcPr>
            <w:tcW w:w="801" w:type="dxa"/>
            <w:shd w:val="clear" w:color="auto" w:fill="auto"/>
            <w:vAlign w:val="bottom"/>
          </w:tcPr>
          <w:p w14:paraId="0CAB134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37.360</w:t>
            </w:r>
          </w:p>
        </w:tc>
        <w:tc>
          <w:tcPr>
            <w:tcW w:w="801" w:type="dxa"/>
            <w:shd w:val="clear" w:color="auto" w:fill="auto"/>
            <w:vAlign w:val="bottom"/>
          </w:tcPr>
          <w:p w14:paraId="6D23B23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38.357</w:t>
            </w:r>
          </w:p>
        </w:tc>
        <w:tc>
          <w:tcPr>
            <w:tcW w:w="801" w:type="dxa"/>
            <w:shd w:val="clear" w:color="auto" w:fill="auto"/>
            <w:vAlign w:val="bottom"/>
          </w:tcPr>
          <w:p w14:paraId="0B48D85B">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37.431</w:t>
            </w:r>
          </w:p>
        </w:tc>
        <w:tc>
          <w:tcPr>
            <w:tcW w:w="801" w:type="dxa"/>
            <w:shd w:val="clear" w:color="auto" w:fill="auto"/>
            <w:vAlign w:val="bottom"/>
          </w:tcPr>
          <w:p w14:paraId="6588C41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38.488</w:t>
            </w:r>
          </w:p>
        </w:tc>
        <w:tc>
          <w:tcPr>
            <w:tcW w:w="805" w:type="dxa"/>
            <w:shd w:val="clear" w:color="auto" w:fill="auto"/>
            <w:vAlign w:val="bottom"/>
          </w:tcPr>
          <w:p w14:paraId="76C0144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36.857</w:t>
            </w:r>
          </w:p>
        </w:tc>
      </w:tr>
      <w:tr w14:paraId="6A91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dxa"/>
            <w:vAlign w:val="center"/>
          </w:tcPr>
          <w:p w14:paraId="00E138FB">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1拷贝</w:t>
            </w:r>
          </w:p>
        </w:tc>
        <w:tc>
          <w:tcPr>
            <w:tcW w:w="801" w:type="dxa"/>
            <w:shd w:val="clear" w:color="auto" w:fill="auto"/>
            <w:vAlign w:val="bottom"/>
          </w:tcPr>
          <w:p w14:paraId="683FFD1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38.422</w:t>
            </w:r>
          </w:p>
        </w:tc>
        <w:tc>
          <w:tcPr>
            <w:tcW w:w="801" w:type="dxa"/>
            <w:shd w:val="clear" w:color="auto" w:fill="auto"/>
            <w:vAlign w:val="bottom"/>
          </w:tcPr>
          <w:p w14:paraId="3A8422B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38.733</w:t>
            </w:r>
          </w:p>
        </w:tc>
        <w:tc>
          <w:tcPr>
            <w:tcW w:w="801" w:type="dxa"/>
            <w:shd w:val="clear" w:color="auto" w:fill="auto"/>
            <w:vAlign w:val="bottom"/>
          </w:tcPr>
          <w:p w14:paraId="7F0EFCA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N/A</w:t>
            </w:r>
          </w:p>
        </w:tc>
        <w:tc>
          <w:tcPr>
            <w:tcW w:w="801" w:type="dxa"/>
            <w:shd w:val="clear" w:color="auto" w:fill="auto"/>
            <w:vAlign w:val="bottom"/>
          </w:tcPr>
          <w:p w14:paraId="4D70263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38.257</w:t>
            </w:r>
          </w:p>
        </w:tc>
        <w:tc>
          <w:tcPr>
            <w:tcW w:w="801" w:type="dxa"/>
            <w:shd w:val="clear" w:color="auto" w:fill="auto"/>
            <w:vAlign w:val="bottom"/>
          </w:tcPr>
          <w:p w14:paraId="740A1D8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N/A</w:t>
            </w:r>
          </w:p>
        </w:tc>
        <w:tc>
          <w:tcPr>
            <w:tcW w:w="801" w:type="dxa"/>
            <w:shd w:val="clear" w:color="auto" w:fill="auto"/>
            <w:vAlign w:val="bottom"/>
          </w:tcPr>
          <w:p w14:paraId="47AD20F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38.362</w:t>
            </w:r>
          </w:p>
        </w:tc>
        <w:tc>
          <w:tcPr>
            <w:tcW w:w="801" w:type="dxa"/>
            <w:shd w:val="clear" w:color="auto" w:fill="auto"/>
            <w:vAlign w:val="bottom"/>
          </w:tcPr>
          <w:p w14:paraId="73E594A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39.325</w:t>
            </w:r>
          </w:p>
        </w:tc>
        <w:tc>
          <w:tcPr>
            <w:tcW w:w="801" w:type="dxa"/>
            <w:shd w:val="clear" w:color="auto" w:fill="auto"/>
            <w:vAlign w:val="bottom"/>
          </w:tcPr>
          <w:p w14:paraId="2BC193BB">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38.248</w:t>
            </w:r>
          </w:p>
        </w:tc>
        <w:tc>
          <w:tcPr>
            <w:tcW w:w="801" w:type="dxa"/>
            <w:shd w:val="clear" w:color="auto" w:fill="auto"/>
            <w:vAlign w:val="bottom"/>
          </w:tcPr>
          <w:p w14:paraId="684F0E0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N/A</w:t>
            </w:r>
          </w:p>
        </w:tc>
        <w:tc>
          <w:tcPr>
            <w:tcW w:w="805" w:type="dxa"/>
            <w:shd w:val="clear" w:color="auto" w:fill="auto"/>
            <w:vAlign w:val="bottom"/>
          </w:tcPr>
          <w:p w14:paraId="4602554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auto"/>
                <w:sz w:val="18"/>
                <w:szCs w:val="18"/>
                <w:highlight w:val="none"/>
              </w:rPr>
              <w:t>N/A</w:t>
            </w:r>
          </w:p>
        </w:tc>
      </w:tr>
    </w:tbl>
    <w:p w14:paraId="2CD5068C">
      <w:pPr>
        <w:tabs>
          <w:tab w:val="left" w:pos="3315"/>
        </w:tabs>
        <w:jc w:val="center"/>
        <w:rPr>
          <w:rFonts w:eastAsia="仿宋"/>
          <w:b/>
          <w:bCs/>
          <w:sz w:val="24"/>
          <w:highlight w:val="none"/>
        </w:rPr>
      </w:pPr>
    </w:p>
    <w:p w14:paraId="0B2A557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default" w:ascii="Times New Roman" w:hAnsi="Times New Roman" w:cs="Calibri"/>
          <w:szCs w:val="22"/>
        </w:rPr>
        <w:t>根据</w:t>
      </w:r>
      <w:r>
        <w:rPr>
          <w:rFonts w:hint="eastAsia" w:cs="Calibri"/>
          <w:szCs w:val="22"/>
          <w:lang w:eastAsia="zh-CN"/>
        </w:rPr>
        <w:t>农业部2259号公告—5—2015</w:t>
      </w:r>
      <w:r>
        <w:rPr>
          <w:rFonts w:hint="default" w:ascii="Times New Roman" w:hAnsi="Times New Roman" w:cs="Calibri"/>
          <w:szCs w:val="22"/>
        </w:rPr>
        <w:t>等标准，并参考欧盟阈值0.9%，初步确定抗虫耐除草剂玉米</w:t>
      </w:r>
      <w:r>
        <w:rPr>
          <w:rFonts w:hint="eastAsia" w:cs="Calibri"/>
          <w:szCs w:val="22"/>
          <w:lang w:eastAsia="zh-CN"/>
        </w:rPr>
        <w:t>QY2569-42</w:t>
      </w:r>
      <w:r>
        <w:rPr>
          <w:rFonts w:hint="default" w:ascii="Times New Roman" w:hAnsi="Times New Roman" w:cs="Calibri"/>
          <w:szCs w:val="22"/>
        </w:rPr>
        <w:t>转化体拷贝数比值为0.05%的模板浓度（即模板量为20个拷贝数）为能够稳定检出（10个均为阳性）的最低浓度。</w:t>
      </w:r>
    </w:p>
    <w:p w14:paraId="565DFA15">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5.7 检出限的确认</w:t>
      </w:r>
    </w:p>
    <w:p w14:paraId="294DE0C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pPr>
      <w:r>
        <w:rPr>
          <w:rFonts w:hint="default" w:ascii="Times New Roman" w:hAnsi="Times New Roman" w:cs="Calibri"/>
          <w:szCs w:val="22"/>
        </w:rPr>
        <w:t>对通过初步测试的</w:t>
      </w:r>
      <w:r>
        <w:rPr>
          <w:rFonts w:hint="eastAsia" w:cs="Calibri"/>
          <w:szCs w:val="22"/>
          <w:lang w:eastAsia="zh-CN"/>
        </w:rPr>
        <w:t>QY2569-42</w:t>
      </w:r>
      <w:r>
        <w:rPr>
          <w:rFonts w:hint="default" w:ascii="Times New Roman" w:hAnsi="Times New Roman" w:cs="Calibri"/>
          <w:szCs w:val="22"/>
        </w:rPr>
        <w:t>转化体拷贝数为20拷贝的样品，进行60次测试。60次反应均有典型扩增曲线（图</w:t>
      </w:r>
      <w:r>
        <w:rPr>
          <w:rFonts w:hint="eastAsia" w:cs="Calibri"/>
          <w:szCs w:val="22"/>
          <w:lang w:val="en-US" w:eastAsia="zh-CN"/>
        </w:rPr>
        <w:t>2-9</w:t>
      </w:r>
      <w:r>
        <w:rPr>
          <w:rFonts w:hint="default" w:ascii="Times New Roman" w:hAnsi="Times New Roman" w:cs="Calibri"/>
          <w:szCs w:val="22"/>
        </w:rPr>
        <w:t>），确认结果表明该方法在95%的置信度下，拷贝数为20的样品出现阳性结果的概率大于95%。因此确定本方法的检出限可达到20拷贝，满足转基因检测标准物质要求。</w:t>
      </w:r>
    </w:p>
    <w:p w14:paraId="4FA30E76">
      <w:pPr>
        <w:tabs>
          <w:tab w:val="left" w:pos="3315"/>
        </w:tabs>
        <w:spacing w:line="360" w:lineRule="auto"/>
        <w:jc w:val="center"/>
      </w:pPr>
      <w:r>
        <w:drawing>
          <wp:inline distT="0" distB="0" distL="114300" distR="114300">
            <wp:extent cx="4458335" cy="2520315"/>
            <wp:effectExtent l="0" t="0" r="0" b="13335"/>
            <wp:docPr id="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2"/>
                    <pic:cNvPicPr>
                      <a:picLocks noChangeAspect="1"/>
                    </pic:cNvPicPr>
                  </pic:nvPicPr>
                  <pic:blipFill>
                    <a:blip r:embed="rId16"/>
                    <a:stretch>
                      <a:fillRect/>
                    </a:stretch>
                  </pic:blipFill>
                  <pic:spPr>
                    <a:xfrm>
                      <a:off x="0" y="0"/>
                      <a:ext cx="4458335" cy="2520315"/>
                    </a:xfrm>
                    <a:prstGeom prst="rect">
                      <a:avLst/>
                    </a:prstGeom>
                    <a:noFill/>
                    <a:ln>
                      <a:noFill/>
                    </a:ln>
                  </pic:spPr>
                </pic:pic>
              </a:graphicData>
            </a:graphic>
          </wp:inline>
        </w:drawing>
      </w:r>
    </w:p>
    <w:p w14:paraId="43744308">
      <w:pPr>
        <w:pStyle w:val="8"/>
        <w:spacing w:line="312" w:lineRule="auto"/>
        <w:ind w:firstLine="422"/>
        <w:jc w:val="center"/>
        <w:rPr>
          <w:rFonts w:ascii="Times New Roman" w:hAnsi="Times New Roman" w:eastAsia="黑体" w:cs="Calibri"/>
          <w:sz w:val="18"/>
          <w:szCs w:val="22"/>
        </w:rPr>
      </w:pPr>
      <w:bookmarkStart w:id="21" w:name="OLE_LINK2"/>
      <w:r>
        <w:rPr>
          <w:rFonts w:ascii="Times New Roman" w:hAnsi="Times New Roman" w:eastAsia="黑体" w:cs="Calibri"/>
          <w:sz w:val="18"/>
          <w:szCs w:val="22"/>
        </w:rPr>
        <w:t>图</w:t>
      </w:r>
      <w:bookmarkEnd w:id="21"/>
      <w:r>
        <w:rPr>
          <w:rFonts w:hint="eastAsia" w:ascii="Times New Roman" w:hAnsi="Times New Roman" w:eastAsia="黑体" w:cs="Calibri"/>
          <w:sz w:val="18"/>
          <w:szCs w:val="22"/>
          <w:lang w:val="en-US" w:eastAsia="zh-CN"/>
        </w:rPr>
        <w:t>2-9</w:t>
      </w:r>
      <w:r>
        <w:rPr>
          <w:rFonts w:ascii="Times New Roman" w:hAnsi="Times New Roman" w:eastAsia="黑体" w:cs="Calibri"/>
          <w:sz w:val="18"/>
          <w:szCs w:val="22"/>
        </w:rPr>
        <w:t xml:space="preserve"> 检出限确认</w:t>
      </w:r>
    </w:p>
    <w:p w14:paraId="5D7038CE">
      <w:pPr>
        <w:pStyle w:val="5"/>
        <w:bidi w:val="0"/>
        <w:spacing w:before="50" w:beforeLines="50" w:after="50" w:afterLines="50" w:line="240" w:lineRule="auto"/>
        <w:ind w:firstLine="420" w:firstLineChars="200"/>
        <w:rPr>
          <w:rFonts w:ascii="Times New Roman" w:hAnsi="Times New Roman" w:eastAsia="黑体" w:cs="Calibri"/>
          <w:b w:val="0"/>
          <w:highlight w:val="none"/>
        </w:rPr>
      </w:pPr>
      <w:r>
        <w:rPr>
          <w:rFonts w:ascii="Times New Roman" w:hAnsi="Times New Roman" w:eastAsia="黑体" w:cs="Calibri"/>
          <w:b w:val="0"/>
          <w:highlight w:val="none"/>
        </w:rPr>
        <w:t>6. 再现性测试</w:t>
      </w:r>
    </w:p>
    <w:p w14:paraId="2F5F7DC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default" w:ascii="Times New Roman" w:hAnsi="Times New Roman" w:cs="Calibri"/>
          <w:szCs w:val="22"/>
        </w:rPr>
        <w:t>由两个不同操作人员，在两个不同时间段，利用两台不同的PCR仪，分别对30份不同拷贝数比值的样品进行测试，样品包括10份非转基因玉米样品、10份检出限样品（0.05%）、10份拷贝数比值为1%的样品。测试结果（图</w:t>
      </w:r>
      <w:r>
        <w:rPr>
          <w:rFonts w:hint="eastAsia" w:cs="Calibri"/>
          <w:szCs w:val="22"/>
          <w:lang w:val="en-US" w:eastAsia="zh-CN"/>
        </w:rPr>
        <w:t>2-10</w:t>
      </w:r>
      <w:r>
        <w:rPr>
          <w:rFonts w:hint="default" w:ascii="Times New Roman" w:hAnsi="Times New Roman" w:cs="Calibri"/>
          <w:szCs w:val="22"/>
        </w:rPr>
        <w:t>）与预期一致，表明方法再现性符合要求。</w:t>
      </w:r>
    </w:p>
    <w:p w14:paraId="61415E62">
      <w:pPr>
        <w:jc w:val="center"/>
        <w:outlineLvl w:val="1"/>
      </w:pPr>
      <w:r>
        <w:rPr>
          <w:rFonts w:hint="eastAsia" w:eastAsia="等线"/>
          <w:color w:val="auto"/>
          <w:highlight w:val="none"/>
          <w:lang w:eastAsia="zh-CN"/>
        </w:rPr>
        <w:drawing>
          <wp:inline distT="0" distB="0" distL="114300" distR="114300">
            <wp:extent cx="4789805" cy="1440180"/>
            <wp:effectExtent l="0" t="0" r="0" b="7620"/>
            <wp:docPr id="32" name="图片 32" descr="4e308abf0fe76c3ba4393fd84022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e308abf0fe76c3ba4393fd8402212f"/>
                    <pic:cNvPicPr>
                      <a:picLocks noChangeAspect="1"/>
                    </pic:cNvPicPr>
                  </pic:nvPicPr>
                  <pic:blipFill>
                    <a:blip r:embed="rId17"/>
                    <a:stretch>
                      <a:fillRect/>
                    </a:stretch>
                  </pic:blipFill>
                  <pic:spPr>
                    <a:xfrm>
                      <a:off x="0" y="0"/>
                      <a:ext cx="4789805" cy="1440180"/>
                    </a:xfrm>
                    <a:prstGeom prst="rect">
                      <a:avLst/>
                    </a:prstGeom>
                  </pic:spPr>
                </pic:pic>
              </a:graphicData>
            </a:graphic>
          </wp:inline>
        </w:drawing>
      </w:r>
    </w:p>
    <w:p w14:paraId="5F517758">
      <w:pPr>
        <w:pStyle w:val="8"/>
        <w:spacing w:line="312" w:lineRule="auto"/>
        <w:jc w:val="center"/>
        <w:rPr>
          <w:rFonts w:eastAsia="仿宋"/>
          <w:b/>
          <w:bCs/>
          <w:szCs w:val="21"/>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2-10</w:t>
      </w:r>
      <w:r>
        <w:rPr>
          <w:rFonts w:ascii="Times New Roman" w:hAnsi="Times New Roman" w:eastAsia="黑体" w:cs="Calibri"/>
          <w:sz w:val="18"/>
          <w:szCs w:val="22"/>
        </w:rPr>
        <w:t xml:space="preserve"> 再现性测试</w:t>
      </w:r>
    </w:p>
    <w:p w14:paraId="6AAD646A">
      <w:pPr>
        <w:pStyle w:val="5"/>
        <w:bidi w:val="0"/>
        <w:spacing w:before="50" w:beforeLines="50" w:after="50" w:afterLines="50" w:line="240" w:lineRule="auto"/>
        <w:ind w:firstLine="420" w:firstLineChars="200"/>
        <w:rPr>
          <w:rFonts w:hint="default" w:ascii="Times New Roman" w:hAnsi="Times New Roman" w:eastAsia="黑体" w:cs="Calibri"/>
          <w:b w:val="0"/>
          <w:highlight w:val="none"/>
        </w:rPr>
      </w:pPr>
      <w:r>
        <w:rPr>
          <w:rFonts w:hint="default" w:ascii="Times New Roman" w:hAnsi="Times New Roman" w:eastAsia="黑体" w:cs="Calibri"/>
          <w:b w:val="0"/>
          <w:highlight w:val="none"/>
        </w:rPr>
        <w:t>7. ΔΔ</w:t>
      </w:r>
      <w:r>
        <w:rPr>
          <w:rFonts w:hint="default" w:ascii="Times New Roman" w:hAnsi="Times New Roman" w:eastAsia="黑体" w:cs="Calibri"/>
          <w:b w:val="0"/>
          <w:i/>
          <w:iCs/>
          <w:highlight w:val="none"/>
        </w:rPr>
        <w:t>Ct</w:t>
      </w:r>
      <w:r>
        <w:rPr>
          <w:rFonts w:hint="default" w:ascii="Times New Roman" w:hAnsi="Times New Roman" w:eastAsia="黑体" w:cs="Calibri"/>
          <w:b w:val="0"/>
          <w:highlight w:val="none"/>
        </w:rPr>
        <w:t>判断转化体成分含量的相对高低</w:t>
      </w:r>
    </w:p>
    <w:p w14:paraId="5ABCC5B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default" w:ascii="Times New Roman" w:hAnsi="Times New Roman" w:cs="Calibri"/>
          <w:szCs w:val="22"/>
        </w:rPr>
        <w:t>实时荧光PCR反应中样品转化体特异性序列平均</w:t>
      </w:r>
      <w:r>
        <w:rPr>
          <w:rFonts w:hint="default" w:ascii="Times New Roman" w:hAnsi="Times New Roman" w:cs="Calibri"/>
          <w:i/>
          <w:iCs/>
          <w:szCs w:val="22"/>
          <w:lang w:eastAsia="zh-CN"/>
        </w:rPr>
        <w:t>Ct</w:t>
      </w:r>
      <w:r>
        <w:rPr>
          <w:rFonts w:hint="default" w:ascii="Times New Roman" w:hAnsi="Times New Roman" w:cs="Calibri"/>
          <w:szCs w:val="22"/>
        </w:rPr>
        <w:t>值与内标基因平均</w:t>
      </w:r>
      <w:r>
        <w:rPr>
          <w:rFonts w:hint="default" w:ascii="Times New Roman" w:hAnsi="Times New Roman" w:cs="Calibri"/>
          <w:i/>
          <w:iCs/>
          <w:szCs w:val="22"/>
          <w:lang w:eastAsia="zh-CN"/>
        </w:rPr>
        <w:t>Ct</w:t>
      </w:r>
      <w:r>
        <w:rPr>
          <w:rFonts w:hint="default" w:ascii="Times New Roman" w:hAnsi="Times New Roman" w:cs="Calibri"/>
          <w:szCs w:val="22"/>
        </w:rPr>
        <w:t>值的差值是Δ</w:t>
      </w:r>
      <w:r>
        <w:rPr>
          <w:rFonts w:hint="default" w:ascii="Times New Roman" w:hAnsi="Times New Roman" w:cs="Calibri"/>
          <w:i/>
          <w:iCs/>
          <w:szCs w:val="22"/>
          <w:lang w:eastAsia="zh-CN"/>
        </w:rPr>
        <w:t>Ct</w:t>
      </w:r>
      <w:r>
        <w:rPr>
          <w:rFonts w:hint="default" w:ascii="Times New Roman" w:hAnsi="Times New Roman" w:cs="Calibri"/>
          <w:szCs w:val="22"/>
        </w:rPr>
        <w:t>，实时荧光PCR反应中试样的Δ</w:t>
      </w:r>
      <w:r>
        <w:rPr>
          <w:rFonts w:hint="default" w:ascii="Times New Roman" w:hAnsi="Times New Roman" w:cs="Calibri"/>
          <w:i/>
          <w:iCs/>
          <w:szCs w:val="22"/>
          <w:lang w:eastAsia="zh-CN"/>
        </w:rPr>
        <w:t>Ct</w:t>
      </w:r>
      <w:r>
        <w:rPr>
          <w:rFonts w:hint="default" w:ascii="Times New Roman" w:hAnsi="Times New Roman" w:cs="Calibri"/>
          <w:szCs w:val="22"/>
        </w:rPr>
        <w:t>值与阳性定量质控品的Δ</w:t>
      </w:r>
      <w:r>
        <w:rPr>
          <w:rFonts w:hint="default" w:ascii="Times New Roman" w:hAnsi="Times New Roman" w:cs="Calibri"/>
          <w:i/>
          <w:iCs/>
          <w:szCs w:val="22"/>
          <w:lang w:eastAsia="zh-CN"/>
        </w:rPr>
        <w:t>Ct</w:t>
      </w:r>
      <w:r>
        <w:rPr>
          <w:rFonts w:hint="default" w:ascii="Times New Roman" w:hAnsi="Times New Roman" w:cs="Calibri"/>
          <w:szCs w:val="22"/>
        </w:rPr>
        <w:t>值的差值是ΔΔ</w:t>
      </w:r>
      <w:r>
        <w:rPr>
          <w:rFonts w:hint="default" w:ascii="Times New Roman" w:hAnsi="Times New Roman" w:cs="Calibri"/>
          <w:i/>
          <w:iCs/>
          <w:szCs w:val="22"/>
          <w:lang w:eastAsia="zh-CN"/>
        </w:rPr>
        <w:t>Ct</w:t>
      </w:r>
      <w:r>
        <w:rPr>
          <w:rFonts w:hint="default" w:ascii="Times New Roman" w:hAnsi="Times New Roman" w:cs="Calibri"/>
          <w:szCs w:val="22"/>
        </w:rPr>
        <w:t>。</w:t>
      </w:r>
    </w:p>
    <w:p w14:paraId="7131AEA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default" w:ascii="Times New Roman" w:hAnsi="Times New Roman" w:cs="Calibri"/>
          <w:szCs w:val="22"/>
        </w:rPr>
        <w:t>采用规定的引物和探针对试样中</w:t>
      </w:r>
      <w:r>
        <w:rPr>
          <w:rFonts w:hint="eastAsia" w:cs="Calibri"/>
          <w:szCs w:val="22"/>
          <w:lang w:val="en-US" w:eastAsia="zh-CN"/>
        </w:rPr>
        <w:t>玉米</w:t>
      </w:r>
      <w:r>
        <w:rPr>
          <w:rFonts w:hint="default" w:ascii="Times New Roman" w:hAnsi="Times New Roman" w:cs="Calibri"/>
          <w:szCs w:val="22"/>
        </w:rPr>
        <w:t>内标准基因和</w:t>
      </w:r>
      <w:r>
        <w:rPr>
          <w:rFonts w:hint="eastAsia" w:ascii="Times New Roman" w:hAnsi="Times New Roman" w:cs="Calibri"/>
          <w:szCs w:val="22"/>
          <w:lang w:eastAsia="zh-CN"/>
        </w:rPr>
        <w:t>抗虫</w:t>
      </w:r>
      <w:r>
        <w:rPr>
          <w:rFonts w:hint="default" w:ascii="Times New Roman" w:hAnsi="Times New Roman" w:cs="Calibri"/>
          <w:szCs w:val="22"/>
        </w:rPr>
        <w:t>耐除草剂</w:t>
      </w:r>
      <w:r>
        <w:rPr>
          <w:rFonts w:hint="eastAsia" w:ascii="Times New Roman" w:hAnsi="Times New Roman" w:cs="Calibri"/>
          <w:szCs w:val="22"/>
          <w:lang w:val="en-US" w:eastAsia="zh-CN"/>
        </w:rPr>
        <w:t>玉米</w:t>
      </w:r>
      <w:r>
        <w:rPr>
          <w:rFonts w:hint="eastAsia" w:cs="Calibri"/>
          <w:szCs w:val="22"/>
          <w:lang w:val="en-US" w:eastAsia="zh-CN"/>
        </w:rPr>
        <w:t>QY2569-42</w:t>
      </w:r>
      <w:r>
        <w:rPr>
          <w:rFonts w:hint="default" w:ascii="Times New Roman" w:hAnsi="Times New Roman" w:cs="Calibri"/>
          <w:szCs w:val="22"/>
        </w:rPr>
        <w:t>转化体特异性序列，进行实时荧光PCR扩增。依据是否扩增获得预期的典型扩增曲线，判断试样中是否含有</w:t>
      </w:r>
      <w:r>
        <w:rPr>
          <w:rFonts w:hint="eastAsia" w:ascii="Times New Roman" w:hAnsi="Times New Roman" w:cs="Calibri"/>
          <w:szCs w:val="22"/>
          <w:lang w:eastAsia="zh-CN"/>
        </w:rPr>
        <w:t>抗虫</w:t>
      </w:r>
      <w:r>
        <w:rPr>
          <w:rFonts w:hint="default" w:ascii="Times New Roman" w:hAnsi="Times New Roman" w:cs="Calibri"/>
          <w:szCs w:val="22"/>
        </w:rPr>
        <w:t>耐除草剂</w:t>
      </w:r>
      <w:r>
        <w:rPr>
          <w:rFonts w:hint="eastAsia" w:ascii="Times New Roman" w:hAnsi="Times New Roman" w:cs="Calibri"/>
          <w:szCs w:val="22"/>
          <w:lang w:val="en-US" w:eastAsia="zh-CN"/>
        </w:rPr>
        <w:t>玉米</w:t>
      </w:r>
      <w:r>
        <w:rPr>
          <w:rFonts w:hint="eastAsia" w:cs="Calibri"/>
          <w:szCs w:val="22"/>
          <w:lang w:val="en-US" w:eastAsia="zh-CN"/>
        </w:rPr>
        <w:t>QY2569-42</w:t>
      </w:r>
      <w:r>
        <w:rPr>
          <w:rFonts w:hint="default" w:ascii="Times New Roman" w:hAnsi="Times New Roman" w:cs="Calibri"/>
          <w:szCs w:val="22"/>
        </w:rPr>
        <w:t>转化体成分；若试样中含有</w:t>
      </w:r>
      <w:r>
        <w:rPr>
          <w:rFonts w:hint="eastAsia" w:ascii="Times New Roman" w:hAnsi="Times New Roman" w:cs="Calibri"/>
          <w:szCs w:val="22"/>
          <w:lang w:eastAsia="zh-CN"/>
        </w:rPr>
        <w:t>抗虫</w:t>
      </w:r>
      <w:r>
        <w:rPr>
          <w:rFonts w:hint="default" w:ascii="Times New Roman" w:hAnsi="Times New Roman" w:cs="Calibri"/>
          <w:szCs w:val="22"/>
        </w:rPr>
        <w:t>耐除草剂</w:t>
      </w:r>
      <w:r>
        <w:rPr>
          <w:rFonts w:hint="eastAsia" w:ascii="Times New Roman" w:hAnsi="Times New Roman" w:cs="Calibri"/>
          <w:szCs w:val="22"/>
          <w:lang w:val="en-US" w:eastAsia="zh-CN"/>
        </w:rPr>
        <w:t>玉米</w:t>
      </w:r>
      <w:r>
        <w:rPr>
          <w:rFonts w:hint="eastAsia" w:cs="Calibri"/>
          <w:szCs w:val="22"/>
          <w:lang w:val="en-US" w:eastAsia="zh-CN"/>
        </w:rPr>
        <w:t>QY2569-42</w:t>
      </w:r>
      <w:r>
        <w:rPr>
          <w:rFonts w:hint="default" w:ascii="Times New Roman" w:hAnsi="Times New Roman" w:cs="Calibri"/>
          <w:szCs w:val="22"/>
        </w:rPr>
        <w:t>转化体成分，计算试样与阳性定量质控品的ΔΔ</w:t>
      </w:r>
      <w:r>
        <w:rPr>
          <w:rFonts w:hint="default" w:ascii="Times New Roman" w:hAnsi="Times New Roman" w:cs="Calibri"/>
          <w:i/>
          <w:iCs/>
          <w:szCs w:val="22"/>
          <w:lang w:eastAsia="zh-CN"/>
        </w:rPr>
        <w:t>Ct</w:t>
      </w:r>
      <w:r>
        <w:rPr>
          <w:rFonts w:hint="default" w:ascii="Times New Roman" w:hAnsi="Times New Roman" w:cs="Calibri"/>
          <w:szCs w:val="22"/>
        </w:rPr>
        <w:t>值，判定试样与阳性定量质控品中</w:t>
      </w:r>
      <w:r>
        <w:rPr>
          <w:rFonts w:hint="eastAsia" w:ascii="Times New Roman" w:hAnsi="Times New Roman" w:cs="Calibri"/>
          <w:szCs w:val="22"/>
          <w:lang w:eastAsia="zh-CN"/>
        </w:rPr>
        <w:t>抗虫</w:t>
      </w:r>
      <w:r>
        <w:rPr>
          <w:rFonts w:hint="default" w:ascii="Times New Roman" w:hAnsi="Times New Roman" w:cs="Calibri"/>
          <w:szCs w:val="22"/>
        </w:rPr>
        <w:t>耐除草剂</w:t>
      </w:r>
      <w:r>
        <w:rPr>
          <w:rFonts w:hint="eastAsia" w:ascii="Times New Roman" w:hAnsi="Times New Roman" w:cs="Calibri"/>
          <w:szCs w:val="22"/>
          <w:lang w:val="en-US" w:eastAsia="zh-CN"/>
        </w:rPr>
        <w:t>玉米</w:t>
      </w:r>
      <w:r>
        <w:rPr>
          <w:rFonts w:hint="eastAsia" w:cs="Calibri"/>
          <w:szCs w:val="22"/>
          <w:lang w:val="en-US" w:eastAsia="zh-CN"/>
        </w:rPr>
        <w:t>QY2569-42</w:t>
      </w:r>
      <w:r>
        <w:rPr>
          <w:rFonts w:hint="default" w:ascii="Times New Roman" w:hAnsi="Times New Roman" w:cs="Calibri"/>
          <w:szCs w:val="22"/>
        </w:rPr>
        <w:t>转化体成分含量的相对高低。</w:t>
      </w:r>
    </w:p>
    <w:p w14:paraId="5CA56D1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cs="Calibri"/>
          <w:szCs w:val="22"/>
        </w:rPr>
        <w:t>如进行含量比较，需计算试样的ΔΔ</w:t>
      </w:r>
      <w:r>
        <w:rPr>
          <w:rFonts w:hint="default" w:ascii="Times New Roman" w:hAnsi="Times New Roman" w:cs="Calibri"/>
          <w:i/>
          <w:iCs/>
          <w:szCs w:val="22"/>
          <w:lang w:eastAsia="zh-CN"/>
        </w:rPr>
        <w:t>Ct</w:t>
      </w:r>
      <w:r>
        <w:rPr>
          <w:rFonts w:hint="default" w:ascii="Times New Roman" w:hAnsi="Times New Roman" w:cs="Calibri"/>
          <w:szCs w:val="22"/>
        </w:rPr>
        <w:t>值，根据ΔΔ</w:t>
      </w:r>
      <w:r>
        <w:rPr>
          <w:rFonts w:hint="default" w:ascii="Times New Roman" w:hAnsi="Times New Roman" w:cs="Calibri"/>
          <w:i/>
          <w:iCs/>
          <w:szCs w:val="22"/>
          <w:lang w:eastAsia="zh-CN"/>
        </w:rPr>
        <w:t>Ct</w:t>
      </w:r>
      <w:r>
        <w:rPr>
          <w:rFonts w:hint="default" w:ascii="Times New Roman" w:hAnsi="Times New Roman" w:cs="Calibri"/>
          <w:szCs w:val="22"/>
        </w:rPr>
        <w:t>值大小初步判定试样的转基因含量。当ΔΔ</w:t>
      </w:r>
      <w:r>
        <w:rPr>
          <w:rFonts w:hint="default" w:ascii="Times New Roman" w:hAnsi="Times New Roman" w:cs="Calibri"/>
          <w:i/>
          <w:iCs/>
          <w:szCs w:val="22"/>
          <w:lang w:eastAsia="zh-CN"/>
        </w:rPr>
        <w:t>Ct</w:t>
      </w:r>
      <w:r>
        <w:rPr>
          <w:rFonts w:hint="default" w:ascii="Times New Roman" w:hAnsi="Times New Roman" w:cs="Calibri"/>
          <w:szCs w:val="22"/>
        </w:rPr>
        <w:t>＜−0.4时，表明试样中检测出</w:t>
      </w:r>
      <w:r>
        <w:rPr>
          <w:rFonts w:hint="eastAsia" w:ascii="Times New Roman" w:hAnsi="Times New Roman" w:cs="Calibri"/>
          <w:szCs w:val="22"/>
          <w:lang w:eastAsia="zh-CN"/>
        </w:rPr>
        <w:t>抗虫</w:t>
      </w:r>
      <w:r>
        <w:rPr>
          <w:rFonts w:hint="default" w:ascii="Times New Roman" w:hAnsi="Times New Roman" w:cs="Calibri"/>
          <w:szCs w:val="22"/>
        </w:rPr>
        <w:t>耐除草剂</w:t>
      </w:r>
      <w:r>
        <w:rPr>
          <w:rFonts w:hint="eastAsia" w:ascii="Times New Roman" w:hAnsi="Times New Roman" w:cs="Calibri"/>
          <w:szCs w:val="22"/>
          <w:lang w:val="en-US" w:eastAsia="zh-CN"/>
        </w:rPr>
        <w:t>玉米</w:t>
      </w:r>
      <w:r>
        <w:rPr>
          <w:rFonts w:hint="eastAsia" w:cs="Calibri"/>
          <w:szCs w:val="22"/>
          <w:lang w:val="en-US" w:eastAsia="zh-CN"/>
        </w:rPr>
        <w:t>QY2569-42</w:t>
      </w:r>
      <w:r>
        <w:rPr>
          <w:rFonts w:hint="default" w:ascii="Times New Roman" w:hAnsi="Times New Roman" w:cs="Calibri"/>
          <w:szCs w:val="22"/>
        </w:rPr>
        <w:t>转化体成分，含量显著高于阳性定量质控品；当ΔΔ</w:t>
      </w:r>
      <w:r>
        <w:rPr>
          <w:rFonts w:hint="default" w:ascii="Times New Roman" w:hAnsi="Times New Roman" w:cs="Calibri"/>
          <w:i/>
          <w:iCs/>
          <w:szCs w:val="22"/>
          <w:lang w:eastAsia="zh-CN"/>
        </w:rPr>
        <w:t>Ct</w:t>
      </w:r>
      <w:r>
        <w:rPr>
          <w:rFonts w:hint="default" w:ascii="Times New Roman" w:hAnsi="Times New Roman" w:cs="Calibri"/>
          <w:szCs w:val="22"/>
        </w:rPr>
        <w:t>＞0.4时，表明试样中检测出</w:t>
      </w:r>
      <w:r>
        <w:rPr>
          <w:rFonts w:hint="eastAsia" w:ascii="Times New Roman" w:hAnsi="Times New Roman" w:cs="Calibri"/>
          <w:szCs w:val="22"/>
          <w:lang w:eastAsia="zh-CN"/>
        </w:rPr>
        <w:t>抗虫</w:t>
      </w:r>
      <w:r>
        <w:rPr>
          <w:rFonts w:hint="default" w:ascii="Times New Roman" w:hAnsi="Times New Roman" w:cs="Calibri"/>
          <w:szCs w:val="22"/>
        </w:rPr>
        <w:t>耐除草剂</w:t>
      </w:r>
      <w:r>
        <w:rPr>
          <w:rFonts w:hint="eastAsia" w:ascii="Times New Roman" w:hAnsi="Times New Roman" w:cs="Calibri"/>
          <w:szCs w:val="22"/>
          <w:lang w:val="en-US" w:eastAsia="zh-CN"/>
        </w:rPr>
        <w:t>玉米</w:t>
      </w:r>
      <w:r>
        <w:rPr>
          <w:rFonts w:hint="eastAsia" w:cs="Calibri"/>
          <w:szCs w:val="22"/>
          <w:lang w:val="en-US" w:eastAsia="zh-CN"/>
        </w:rPr>
        <w:t>QY2569-42</w:t>
      </w:r>
      <w:r>
        <w:rPr>
          <w:rFonts w:hint="default" w:ascii="Times New Roman" w:hAnsi="Times New Roman" w:cs="Calibri"/>
          <w:szCs w:val="22"/>
        </w:rPr>
        <w:t>转化体成分，含量显著低于阳性定量质控品。</w:t>
      </w:r>
    </w:p>
    <w:p w14:paraId="4967EFBD">
      <w:pPr>
        <w:pStyle w:val="3"/>
        <w:bidi w:val="0"/>
        <w:spacing w:before="50" w:after="50" w:line="240" w:lineRule="auto"/>
        <w:ind w:firstLine="0" w:firstLineChars="0"/>
        <w:rPr>
          <w:rFonts w:ascii="Times New Roman" w:hAnsi="Times New Roman" w:eastAsia="黑体" w:cs="Calibri"/>
          <w:b w:val="0"/>
          <w:sz w:val="21"/>
        </w:rPr>
      </w:pPr>
      <w:bookmarkStart w:id="22" w:name="_Toc29819"/>
      <w:r>
        <w:rPr>
          <w:rFonts w:hint="eastAsia" w:ascii="Times New Roman" w:hAnsi="Times New Roman" w:eastAsia="黑体" w:cs="Calibri"/>
          <w:b w:val="0"/>
          <w:sz w:val="21"/>
          <w:lang w:val="en-US" w:eastAsia="zh-CN"/>
        </w:rPr>
        <w:t>方法二、</w:t>
      </w:r>
      <w:r>
        <w:rPr>
          <w:rFonts w:ascii="Times New Roman" w:hAnsi="Times New Roman" w:eastAsia="黑体" w:cs="Calibri"/>
          <w:b w:val="0"/>
          <w:sz w:val="21"/>
        </w:rPr>
        <w:t>抗虫耐除草剂玉米</w:t>
      </w:r>
      <w:r>
        <w:rPr>
          <w:rFonts w:hint="eastAsia" w:eastAsia="黑体" w:cs="Calibri"/>
          <w:b w:val="0"/>
          <w:sz w:val="21"/>
          <w:lang w:eastAsia="zh-CN"/>
        </w:rPr>
        <w:t>QY2569-42</w:t>
      </w:r>
      <w:r>
        <w:rPr>
          <w:rFonts w:ascii="Times New Roman" w:hAnsi="Times New Roman" w:eastAsia="黑体" w:cs="Calibri"/>
          <w:b w:val="0"/>
          <w:sz w:val="21"/>
        </w:rPr>
        <w:t>转化体特异性实时荧光PCR定量检测方法建立</w:t>
      </w:r>
      <w:bookmarkEnd w:id="22"/>
    </w:p>
    <w:p w14:paraId="62AC343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hint="default" w:ascii="Times New Roman" w:hAnsi="Times New Roman" w:cs="Calibri"/>
          <w:szCs w:val="22"/>
        </w:rPr>
        <w:t>实时荧光PCR定量检测方法建立要经过引物探针设计及筛选、反应体系及条件优化、特异性测试、检出限测试、标准曲线绘制、准确性测试、定量限测试、稳健性测试等步骤，每个步骤的考察要点及注意事项见表</w:t>
      </w:r>
      <w:r>
        <w:rPr>
          <w:rFonts w:hint="eastAsia" w:cs="Calibri"/>
          <w:szCs w:val="22"/>
          <w:lang w:val="en-US" w:eastAsia="zh-CN"/>
        </w:rPr>
        <w:t>2-9</w:t>
      </w:r>
      <w:r>
        <w:rPr>
          <w:rFonts w:hint="default" w:ascii="Times New Roman" w:hAnsi="Times New Roman" w:cs="Calibri"/>
          <w:szCs w:val="22"/>
        </w:rPr>
        <w:t>。</w:t>
      </w:r>
    </w:p>
    <w:p w14:paraId="1DBF0416">
      <w:pPr>
        <w:spacing w:line="360" w:lineRule="auto"/>
        <w:jc w:val="center"/>
        <w:outlineLvl w:val="1"/>
        <w:rPr>
          <w:rFonts w:eastAsia="仿宋"/>
          <w:b/>
          <w:bCs/>
          <w:szCs w:val="21"/>
        </w:rPr>
      </w:pPr>
      <w:bookmarkStart w:id="23" w:name="_Toc2334"/>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2-9</w:t>
      </w:r>
      <w:r>
        <w:rPr>
          <w:rFonts w:ascii="Times New Roman" w:hAnsi="Times New Roman" w:eastAsia="黑体" w:cs="Calibri"/>
          <w:kern w:val="2"/>
          <w:sz w:val="18"/>
          <w:szCs w:val="22"/>
          <w:lang w:val="en-US" w:eastAsia="zh-CN" w:bidi="ar-SA"/>
        </w:rPr>
        <w:t xml:space="preserve"> 方法建立步骤及考察要点</w:t>
      </w:r>
      <w:bookmarkEnd w:id="23"/>
    </w:p>
    <w:tbl>
      <w:tblPr>
        <w:tblStyle w:val="16"/>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577"/>
        <w:gridCol w:w="2898"/>
        <w:gridCol w:w="2993"/>
      </w:tblGrid>
      <w:tr w14:paraId="7B19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3CA14745">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序号</w:t>
            </w:r>
          </w:p>
        </w:tc>
        <w:tc>
          <w:tcPr>
            <w:tcW w:w="1577" w:type="dxa"/>
            <w:noWrap/>
            <w:vAlign w:val="center"/>
          </w:tcPr>
          <w:p w14:paraId="3D04C641">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步骤</w:t>
            </w:r>
          </w:p>
        </w:tc>
        <w:tc>
          <w:tcPr>
            <w:tcW w:w="2898" w:type="dxa"/>
            <w:noWrap/>
            <w:vAlign w:val="center"/>
          </w:tcPr>
          <w:p w14:paraId="6BD7CF04">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考察要点</w:t>
            </w:r>
          </w:p>
        </w:tc>
        <w:tc>
          <w:tcPr>
            <w:tcW w:w="2993" w:type="dxa"/>
            <w:noWrap/>
            <w:vAlign w:val="center"/>
          </w:tcPr>
          <w:p w14:paraId="595FF38F">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注意事项</w:t>
            </w:r>
          </w:p>
        </w:tc>
      </w:tr>
      <w:tr w14:paraId="33F6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61EE894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577" w:type="dxa"/>
            <w:noWrap/>
            <w:vAlign w:val="center"/>
          </w:tcPr>
          <w:p w14:paraId="191B409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引物探针设计及筛选</w:t>
            </w:r>
          </w:p>
        </w:tc>
        <w:tc>
          <w:tcPr>
            <w:tcW w:w="2898" w:type="dxa"/>
            <w:noWrap/>
            <w:vAlign w:val="center"/>
          </w:tcPr>
          <w:p w14:paraId="22BE6194">
            <w:pPr>
              <w:jc w:val="center"/>
              <w:rPr>
                <w:rFonts w:hint="default" w:ascii="Times New Roman" w:hAnsi="Times New Roman" w:eastAsia="宋体" w:cs="Times New Roman"/>
                <w:sz w:val="18"/>
                <w:szCs w:val="18"/>
              </w:rPr>
            </w:pPr>
            <w:r>
              <w:rPr>
                <w:rFonts w:hint="default" w:ascii="Times New Roman" w:hAnsi="Times New Roman" w:eastAsia="宋体" w:cs="Times New Roman"/>
                <w:i/>
                <w:iCs/>
                <w:sz w:val="18"/>
                <w:szCs w:val="18"/>
              </w:rPr>
              <w:t>Ct</w:t>
            </w:r>
            <w:r>
              <w:rPr>
                <w:rFonts w:hint="default" w:ascii="Times New Roman" w:hAnsi="Times New Roman" w:eastAsia="宋体" w:cs="Times New Roman"/>
                <w:sz w:val="18"/>
                <w:szCs w:val="18"/>
              </w:rPr>
              <w:t>值大小</w:t>
            </w:r>
          </w:p>
          <w:p w14:paraId="684ECB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荧光信号强度</w:t>
            </w:r>
          </w:p>
        </w:tc>
        <w:tc>
          <w:tcPr>
            <w:tcW w:w="2993" w:type="dxa"/>
            <w:noWrap/>
            <w:vAlign w:val="center"/>
          </w:tcPr>
          <w:p w14:paraId="6AD1503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扩增片段小于150 bp，</w:t>
            </w:r>
          </w:p>
          <w:p w14:paraId="091D0D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在通用条件下筛选</w:t>
            </w:r>
          </w:p>
        </w:tc>
      </w:tr>
      <w:tr w14:paraId="704E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76296C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577" w:type="dxa"/>
            <w:noWrap/>
            <w:vAlign w:val="center"/>
          </w:tcPr>
          <w:p w14:paraId="6778A33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反应体系及条件优化</w:t>
            </w:r>
          </w:p>
        </w:tc>
        <w:tc>
          <w:tcPr>
            <w:tcW w:w="2898" w:type="dxa"/>
            <w:noWrap/>
            <w:vAlign w:val="center"/>
          </w:tcPr>
          <w:p w14:paraId="624AD45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在不同的引物/探针浓度下都能稳定扩增</w:t>
            </w:r>
          </w:p>
        </w:tc>
        <w:tc>
          <w:tcPr>
            <w:tcW w:w="2993" w:type="dxa"/>
            <w:noWrap/>
            <w:vAlign w:val="center"/>
          </w:tcPr>
          <w:p w14:paraId="738C1A4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在60℃下反应</w:t>
            </w:r>
          </w:p>
        </w:tc>
      </w:tr>
      <w:tr w14:paraId="24D3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76D1E0C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577" w:type="dxa"/>
            <w:noWrap/>
            <w:vAlign w:val="center"/>
          </w:tcPr>
          <w:p w14:paraId="728F93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特异性测试</w:t>
            </w:r>
          </w:p>
        </w:tc>
        <w:tc>
          <w:tcPr>
            <w:tcW w:w="2898" w:type="dxa"/>
            <w:noWrap/>
            <w:vAlign w:val="center"/>
          </w:tcPr>
          <w:p w14:paraId="0D385F0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仅在含目标转化体的样品中有扩增曲线</w:t>
            </w:r>
          </w:p>
        </w:tc>
        <w:tc>
          <w:tcPr>
            <w:tcW w:w="2993" w:type="dxa"/>
            <w:noWrap/>
            <w:vAlign w:val="center"/>
          </w:tcPr>
          <w:p w14:paraId="08CFF4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样品设置</w:t>
            </w:r>
          </w:p>
        </w:tc>
      </w:tr>
      <w:tr w14:paraId="07B9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5B0507B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577" w:type="dxa"/>
            <w:noWrap/>
            <w:vAlign w:val="center"/>
          </w:tcPr>
          <w:p w14:paraId="2E279D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检出限测试</w:t>
            </w:r>
          </w:p>
        </w:tc>
        <w:tc>
          <w:tcPr>
            <w:tcW w:w="2898" w:type="dxa"/>
            <w:noWrap/>
            <w:vAlign w:val="center"/>
          </w:tcPr>
          <w:p w14:paraId="1ED91E4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能稳定检测的最低浓度</w:t>
            </w:r>
          </w:p>
        </w:tc>
        <w:tc>
          <w:tcPr>
            <w:tcW w:w="2993" w:type="dxa"/>
            <w:noWrap/>
            <w:vAlign w:val="center"/>
          </w:tcPr>
          <w:p w14:paraId="00BACE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模板拷贝数浓度准确</w:t>
            </w:r>
          </w:p>
        </w:tc>
      </w:tr>
      <w:tr w14:paraId="6FF2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42BF26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577" w:type="dxa"/>
            <w:noWrap/>
            <w:vAlign w:val="center"/>
          </w:tcPr>
          <w:p w14:paraId="733C82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标准曲线绘制</w:t>
            </w:r>
          </w:p>
        </w:tc>
        <w:tc>
          <w:tcPr>
            <w:tcW w:w="2898" w:type="dxa"/>
            <w:noWrap/>
            <w:vAlign w:val="center"/>
          </w:tcPr>
          <w:p w14:paraId="6D7E183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斜率（</w:t>
            </w:r>
            <w:r>
              <w:rPr>
                <w:rFonts w:hint="default" w:ascii="Times New Roman" w:hAnsi="Times New Roman" w:eastAsia="宋体" w:cs="Times New Roman"/>
                <w:i/>
                <w:iCs/>
                <w:sz w:val="18"/>
                <w:szCs w:val="18"/>
              </w:rPr>
              <w:t>b</w:t>
            </w:r>
            <w:r>
              <w:rPr>
                <w:rFonts w:hint="default" w:ascii="Times New Roman" w:hAnsi="Times New Roman" w:eastAsia="宋体" w:cs="Times New Roman"/>
                <w:sz w:val="18"/>
                <w:szCs w:val="18"/>
              </w:rPr>
              <w:t>）、决定系数（R</w:t>
            </w:r>
            <w:r>
              <w:rPr>
                <w:rFonts w:hint="default" w:ascii="Times New Roman" w:hAnsi="Times New Roman" w:eastAsia="宋体" w:cs="Times New Roman"/>
                <w:sz w:val="18"/>
                <w:szCs w:val="18"/>
                <w:vertAlign w:val="superscript"/>
              </w:rPr>
              <w:t>2</w:t>
            </w:r>
            <w:r>
              <w:rPr>
                <w:rFonts w:hint="default" w:ascii="Times New Roman" w:hAnsi="Times New Roman" w:eastAsia="宋体" w:cs="Times New Roman"/>
                <w:sz w:val="18"/>
                <w:szCs w:val="18"/>
              </w:rPr>
              <w:t>）和PCR扩增效率（E）</w:t>
            </w:r>
          </w:p>
        </w:tc>
        <w:tc>
          <w:tcPr>
            <w:tcW w:w="2993" w:type="dxa"/>
            <w:noWrap/>
            <w:vAlign w:val="center"/>
          </w:tcPr>
          <w:p w14:paraId="3D65FB1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校准品浓度梯度设置</w:t>
            </w:r>
          </w:p>
        </w:tc>
      </w:tr>
      <w:tr w14:paraId="204F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21E850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1577" w:type="dxa"/>
            <w:noWrap/>
            <w:vAlign w:val="center"/>
          </w:tcPr>
          <w:p w14:paraId="1FBB77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准确性测试</w:t>
            </w:r>
          </w:p>
        </w:tc>
        <w:tc>
          <w:tcPr>
            <w:tcW w:w="2898" w:type="dxa"/>
            <w:noWrap/>
            <w:vAlign w:val="center"/>
          </w:tcPr>
          <w:p w14:paraId="4821B5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重复条件下测量结果的精确度和正确度</w:t>
            </w:r>
          </w:p>
        </w:tc>
        <w:tc>
          <w:tcPr>
            <w:tcW w:w="2993" w:type="dxa"/>
            <w:noWrap/>
            <w:vAlign w:val="center"/>
          </w:tcPr>
          <w:p w14:paraId="6E89BE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样品设置，1个PCR排板（试样3个子样，3个PCR重复），质控品和校准品仅设1个子样，重复3次</w:t>
            </w:r>
          </w:p>
        </w:tc>
      </w:tr>
      <w:tr w14:paraId="3D0F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54FBD3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577" w:type="dxa"/>
            <w:noWrap/>
            <w:vAlign w:val="center"/>
          </w:tcPr>
          <w:p w14:paraId="226256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定量限测试</w:t>
            </w:r>
          </w:p>
        </w:tc>
        <w:tc>
          <w:tcPr>
            <w:tcW w:w="2898" w:type="dxa"/>
            <w:noWrap/>
            <w:vAlign w:val="center"/>
          </w:tcPr>
          <w:p w14:paraId="5D068D0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能准确定量的最低浓度</w:t>
            </w:r>
          </w:p>
        </w:tc>
        <w:tc>
          <w:tcPr>
            <w:tcW w:w="2993" w:type="dxa"/>
            <w:noWrap/>
            <w:vAlign w:val="center"/>
          </w:tcPr>
          <w:p w14:paraId="021A8C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模板拷贝数浓度准确</w:t>
            </w:r>
          </w:p>
        </w:tc>
      </w:tr>
      <w:tr w14:paraId="31A8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ign w:val="center"/>
          </w:tcPr>
          <w:p w14:paraId="1C3B56A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1577" w:type="dxa"/>
            <w:noWrap/>
            <w:vAlign w:val="center"/>
          </w:tcPr>
          <w:p w14:paraId="4E872B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稳健性测试</w:t>
            </w:r>
          </w:p>
        </w:tc>
        <w:tc>
          <w:tcPr>
            <w:tcW w:w="2898" w:type="dxa"/>
            <w:noWrap/>
            <w:vAlign w:val="center"/>
          </w:tcPr>
          <w:p w14:paraId="4BBF2B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改变PCR反应条件（操作者、试剂盒、PCR仪），测量结果的精确度和正确度</w:t>
            </w:r>
          </w:p>
        </w:tc>
        <w:tc>
          <w:tcPr>
            <w:tcW w:w="2993" w:type="dxa"/>
            <w:noWrap/>
            <w:vAlign w:val="center"/>
          </w:tcPr>
          <w:p w14:paraId="3492B8E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用转基因含量为定量限的样品测试</w:t>
            </w:r>
          </w:p>
        </w:tc>
      </w:tr>
    </w:tbl>
    <w:p w14:paraId="5B274E16">
      <w:pPr>
        <w:pStyle w:val="4"/>
        <w:bidi w:val="0"/>
        <w:spacing w:before="50" w:beforeLines="50" w:after="50" w:afterLines="50" w:line="240" w:lineRule="auto"/>
        <w:ind w:firstLine="420" w:firstLineChars="200"/>
        <w:rPr>
          <w:rFonts w:hint="default" w:ascii="Times New Roman" w:hAnsi="Times New Roman" w:eastAsia="黑体" w:cs="Calibri"/>
          <w:b w:val="0"/>
          <w:sz w:val="21"/>
        </w:rPr>
      </w:pPr>
      <w:r>
        <w:rPr>
          <w:rFonts w:hint="default" w:ascii="Times New Roman" w:hAnsi="Times New Roman" w:eastAsia="黑体" w:cs="Calibri"/>
          <w:b w:val="0"/>
          <w:sz w:val="21"/>
        </w:rPr>
        <w:t>1. 引物和探针的设计与确定</w:t>
      </w:r>
    </w:p>
    <w:p w14:paraId="6B750C7A">
      <w:pPr>
        <w:pStyle w:val="4"/>
        <w:bidi w:val="0"/>
        <w:spacing w:before="50" w:beforeLines="50" w:after="50" w:afterLines="50" w:line="240" w:lineRule="auto"/>
        <w:ind w:firstLine="420" w:firstLineChars="200"/>
        <w:rPr>
          <w:rFonts w:hint="default" w:ascii="Times New Roman" w:hAnsi="Times New Roman" w:eastAsia="黑体" w:cs="Calibri"/>
          <w:b w:val="0"/>
          <w:sz w:val="21"/>
        </w:rPr>
      </w:pPr>
      <w:r>
        <w:rPr>
          <w:rFonts w:hint="default" w:ascii="Times New Roman" w:hAnsi="Times New Roman" w:eastAsia="黑体" w:cs="Calibri"/>
          <w:b w:val="0"/>
          <w:sz w:val="21"/>
        </w:rPr>
        <w:t>1.1 引物和探针的设计</w:t>
      </w:r>
    </w:p>
    <w:p w14:paraId="5D7CFD85">
      <w:pPr>
        <w:bidi w:val="0"/>
        <w:spacing w:line="312" w:lineRule="auto"/>
        <w:ind w:firstLine="420" w:firstLineChars="200"/>
        <w:rPr>
          <w:rFonts w:hint="eastAsia" w:ascii="Times New Roman" w:hAnsi="Times New Roman" w:cs="Calibri"/>
          <w:szCs w:val="22"/>
          <w:lang w:val="en-US" w:eastAsia="zh-CN"/>
        </w:rPr>
      </w:pPr>
      <w:r>
        <w:rPr>
          <w:rFonts w:hint="eastAsia" w:ascii="Times New Roman" w:hAnsi="Times New Roman" w:cs="Calibri"/>
          <w:szCs w:val="22"/>
          <w:lang w:val="en-US" w:eastAsia="zh-CN"/>
        </w:rPr>
        <w:t>同方法一的1.1。</w:t>
      </w:r>
    </w:p>
    <w:p w14:paraId="6B4D68A1">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1.2 引物和探针的筛选</w:t>
      </w:r>
    </w:p>
    <w:p w14:paraId="1D82963A">
      <w:pPr>
        <w:bidi w:val="0"/>
        <w:spacing w:line="312" w:lineRule="auto"/>
        <w:ind w:firstLine="420" w:firstLineChars="200"/>
        <w:rPr>
          <w:rFonts w:hint="eastAsia" w:ascii="Times New Roman" w:hAnsi="Times New Roman" w:cs="Calibri"/>
          <w:szCs w:val="22"/>
          <w:lang w:val="en-US" w:eastAsia="zh-CN"/>
        </w:rPr>
      </w:pPr>
      <w:r>
        <w:rPr>
          <w:rFonts w:hint="eastAsia" w:ascii="Times New Roman" w:hAnsi="Times New Roman" w:cs="Calibri"/>
          <w:szCs w:val="22"/>
          <w:lang w:val="en-US" w:eastAsia="zh-CN"/>
        </w:rPr>
        <w:t>同方法一的1.2。</w:t>
      </w:r>
    </w:p>
    <w:p w14:paraId="0DAB78B1">
      <w:pPr>
        <w:pStyle w:val="4"/>
        <w:bidi w:val="0"/>
        <w:spacing w:before="50" w:beforeLines="50" w:after="50" w:afterLines="50" w:line="240" w:lineRule="auto"/>
        <w:ind w:firstLine="420" w:firstLineChars="200"/>
        <w:rPr>
          <w:rFonts w:ascii="Times New Roman" w:hAnsi="Times New Roman" w:eastAsia="仿宋" w:cs="Times New Roman"/>
          <w:sz w:val="32"/>
          <w:szCs w:val="32"/>
        </w:rPr>
      </w:pPr>
      <w:r>
        <w:rPr>
          <w:rFonts w:ascii="Times New Roman" w:hAnsi="Times New Roman" w:eastAsia="黑体" w:cs="Calibri"/>
          <w:b w:val="0"/>
          <w:bCs/>
          <w:kern w:val="2"/>
          <w:sz w:val="21"/>
          <w:szCs w:val="32"/>
          <w:lang w:val="en-US" w:eastAsia="zh-CN" w:bidi="ar-SA"/>
        </w:rPr>
        <w:t>1.3 引物和</w:t>
      </w:r>
      <w:r>
        <w:rPr>
          <w:rFonts w:ascii="Times New Roman" w:hAnsi="Times New Roman" w:eastAsia="黑体" w:cs="Calibri"/>
          <w:b w:val="0"/>
          <w:sz w:val="21"/>
          <w:lang w:val="en-US" w:eastAsia="zh-CN"/>
        </w:rPr>
        <w:t>探针</w:t>
      </w:r>
      <w:r>
        <w:rPr>
          <w:rFonts w:ascii="Times New Roman" w:hAnsi="Times New Roman" w:eastAsia="黑体" w:cs="Calibri"/>
          <w:b w:val="0"/>
          <w:bCs/>
          <w:kern w:val="2"/>
          <w:sz w:val="21"/>
          <w:szCs w:val="32"/>
          <w:lang w:val="en-US" w:eastAsia="zh-CN" w:bidi="ar-SA"/>
        </w:rPr>
        <w:t>的确定</w:t>
      </w:r>
    </w:p>
    <w:p w14:paraId="32C5EEA9">
      <w:pPr>
        <w:bidi w:val="0"/>
        <w:spacing w:line="312" w:lineRule="auto"/>
        <w:ind w:firstLine="420" w:firstLineChars="200"/>
        <w:rPr>
          <w:rFonts w:hint="eastAsia" w:ascii="Times New Roman" w:hAnsi="Times New Roman" w:cs="Calibri"/>
          <w:szCs w:val="22"/>
          <w:lang w:val="en-US" w:eastAsia="zh-CN"/>
        </w:rPr>
      </w:pPr>
      <w:r>
        <w:rPr>
          <w:rFonts w:hint="eastAsia" w:ascii="Times New Roman" w:hAnsi="Times New Roman" w:cs="Calibri"/>
          <w:szCs w:val="22"/>
          <w:lang w:val="en-US" w:eastAsia="zh-CN"/>
        </w:rPr>
        <w:t>同方法一的1.3。</w:t>
      </w:r>
    </w:p>
    <w:p w14:paraId="09A6EC6B">
      <w:pPr>
        <w:pStyle w:val="4"/>
        <w:bidi w:val="0"/>
        <w:spacing w:before="50" w:beforeLines="50" w:after="50" w:afterLines="50" w:line="240" w:lineRule="auto"/>
        <w:ind w:firstLine="420" w:firstLineChars="200"/>
        <w:rPr>
          <w:rFonts w:ascii="Times New Roman" w:hAnsi="Times New Roman" w:eastAsia="黑体" w:cs="Calibri"/>
          <w:b w:val="0"/>
          <w:bCs/>
          <w:kern w:val="2"/>
          <w:sz w:val="21"/>
          <w:szCs w:val="32"/>
          <w:lang w:val="en-US" w:eastAsia="zh-CN" w:bidi="ar-SA"/>
        </w:rPr>
      </w:pPr>
      <w:r>
        <w:rPr>
          <w:rFonts w:ascii="Times New Roman" w:hAnsi="Times New Roman" w:eastAsia="黑体" w:cs="Calibri"/>
          <w:b w:val="0"/>
          <w:bCs/>
          <w:kern w:val="2"/>
          <w:sz w:val="21"/>
          <w:szCs w:val="32"/>
          <w:lang w:val="en-US" w:eastAsia="zh-CN" w:bidi="ar-SA"/>
        </w:rPr>
        <w:t>2. PCR反应条件的优化与确定</w:t>
      </w:r>
    </w:p>
    <w:p w14:paraId="5F5D031E">
      <w:pPr>
        <w:pStyle w:val="4"/>
        <w:bidi w:val="0"/>
        <w:spacing w:before="50" w:beforeLines="50" w:after="50" w:afterLines="50" w:line="240" w:lineRule="auto"/>
        <w:ind w:firstLine="420" w:firstLineChars="200"/>
        <w:rPr>
          <w:rFonts w:ascii="Times New Roman" w:hAnsi="Times New Roman" w:eastAsia="黑体" w:cs="Calibri"/>
          <w:b w:val="0"/>
          <w:bCs/>
          <w:kern w:val="2"/>
          <w:sz w:val="21"/>
          <w:szCs w:val="32"/>
          <w:lang w:val="en-US" w:eastAsia="zh-CN" w:bidi="ar-SA"/>
        </w:rPr>
      </w:pPr>
      <w:r>
        <w:rPr>
          <w:rFonts w:ascii="Times New Roman" w:hAnsi="Times New Roman" w:eastAsia="黑体" w:cs="Calibri"/>
          <w:b w:val="0"/>
          <w:bCs/>
          <w:kern w:val="2"/>
          <w:sz w:val="21"/>
          <w:szCs w:val="32"/>
          <w:lang w:val="en-US" w:eastAsia="zh-CN" w:bidi="ar-SA"/>
        </w:rPr>
        <w:t>2.1 引物探针浓度的优化</w:t>
      </w:r>
    </w:p>
    <w:p w14:paraId="484487C4">
      <w:pPr>
        <w:bidi w:val="0"/>
        <w:spacing w:line="312" w:lineRule="auto"/>
        <w:ind w:firstLine="420" w:firstLineChars="200"/>
        <w:rPr>
          <w:rFonts w:hint="eastAsia" w:ascii="Times New Roman" w:hAnsi="Times New Roman" w:cs="Calibri"/>
          <w:szCs w:val="22"/>
          <w:lang w:val="en-US" w:eastAsia="zh-CN"/>
        </w:rPr>
      </w:pPr>
      <w:r>
        <w:rPr>
          <w:rFonts w:hint="eastAsia" w:ascii="Times New Roman" w:hAnsi="Times New Roman" w:cs="Calibri"/>
          <w:szCs w:val="22"/>
          <w:lang w:val="en-US" w:eastAsia="zh-CN"/>
        </w:rPr>
        <w:t>同方法一的2.1。</w:t>
      </w:r>
    </w:p>
    <w:p w14:paraId="76817D35">
      <w:pPr>
        <w:pStyle w:val="4"/>
        <w:bidi w:val="0"/>
        <w:spacing w:before="50" w:beforeLines="50" w:after="50" w:afterLines="50" w:line="240" w:lineRule="auto"/>
        <w:ind w:firstLine="420" w:firstLineChars="200"/>
        <w:rPr>
          <w:rFonts w:ascii="Times New Roman" w:hAnsi="Times New Roman" w:eastAsia="黑体" w:cs="Calibri"/>
          <w:b w:val="0"/>
          <w:bCs/>
          <w:kern w:val="2"/>
          <w:sz w:val="21"/>
          <w:szCs w:val="32"/>
          <w:lang w:val="en-US" w:eastAsia="zh-CN" w:bidi="ar-SA"/>
        </w:rPr>
      </w:pPr>
      <w:r>
        <w:rPr>
          <w:rFonts w:ascii="Times New Roman" w:hAnsi="Times New Roman" w:eastAsia="黑体" w:cs="Calibri"/>
          <w:b w:val="0"/>
          <w:bCs/>
          <w:kern w:val="2"/>
          <w:sz w:val="21"/>
          <w:szCs w:val="32"/>
          <w:lang w:val="en-US" w:eastAsia="zh-CN" w:bidi="ar-SA"/>
        </w:rPr>
        <w:t>2.2 PCR反应条件的确定</w:t>
      </w:r>
    </w:p>
    <w:p w14:paraId="4710FE78">
      <w:pPr>
        <w:bidi w:val="0"/>
        <w:spacing w:line="312" w:lineRule="auto"/>
        <w:ind w:firstLine="420" w:firstLineChars="200"/>
        <w:rPr>
          <w:rFonts w:ascii="Times New Roman" w:hAnsi="Times New Roman" w:cs="Calibri"/>
          <w:szCs w:val="22"/>
        </w:rPr>
      </w:pPr>
      <w:r>
        <w:rPr>
          <w:rFonts w:ascii="Times New Roman" w:hAnsi="Times New Roman" w:cs="Calibri"/>
          <w:szCs w:val="22"/>
        </w:rPr>
        <w:t>经优化最终确立了抗虫耐除草剂玉米</w:t>
      </w:r>
      <w:r>
        <w:rPr>
          <w:rFonts w:hint="eastAsia" w:cs="Calibri"/>
          <w:szCs w:val="22"/>
          <w:lang w:eastAsia="zh-CN"/>
        </w:rPr>
        <w:t>QY2569-42</w:t>
      </w:r>
      <w:r>
        <w:rPr>
          <w:rFonts w:ascii="Times New Roman" w:hAnsi="Times New Roman" w:cs="Calibri"/>
          <w:szCs w:val="22"/>
        </w:rPr>
        <w:t>转化体特异性实时荧光PCR扩增体系，按表</w:t>
      </w:r>
      <w:r>
        <w:rPr>
          <w:rFonts w:hint="eastAsia" w:cs="Calibri"/>
          <w:szCs w:val="22"/>
          <w:lang w:val="en-US" w:eastAsia="zh-CN"/>
        </w:rPr>
        <w:t>2-10</w:t>
      </w:r>
      <w:r>
        <w:rPr>
          <w:rFonts w:ascii="Times New Roman" w:hAnsi="Times New Roman" w:cs="Calibri"/>
          <w:szCs w:val="22"/>
        </w:rPr>
        <w:t>配制。反应程序为：95℃变性5 min（第一阶段）；95℃变性15 s，60℃退火延伸60 s，循环数≥40（第二阶段）；在第二阶段退火延伸时段收集荧光信号。</w:t>
      </w:r>
    </w:p>
    <w:p w14:paraId="22934523">
      <w:pPr>
        <w:pStyle w:val="8"/>
        <w:jc w:val="center"/>
        <w:rPr>
          <w:rFonts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表</w:t>
      </w:r>
      <w:r>
        <w:rPr>
          <w:rFonts w:hint="eastAsia" w:ascii="Times New Roman" w:hAnsi="Times New Roman" w:eastAsia="黑体" w:cs="Calibri"/>
          <w:kern w:val="2"/>
          <w:sz w:val="18"/>
          <w:szCs w:val="22"/>
          <w:lang w:val="en-US" w:eastAsia="zh-CN" w:bidi="ar-SA"/>
        </w:rPr>
        <w:t>2-10</w:t>
      </w:r>
      <w:r>
        <w:rPr>
          <w:rFonts w:ascii="Times New Roman" w:hAnsi="Times New Roman" w:eastAsia="黑体" w:cs="Calibri"/>
          <w:kern w:val="2"/>
          <w:sz w:val="18"/>
          <w:szCs w:val="22"/>
          <w:lang w:val="en-US" w:eastAsia="zh-CN" w:bidi="ar-SA"/>
        </w:rPr>
        <w:t xml:space="preserve"> 实时荧光PCR定量扩增体系</w:t>
      </w:r>
    </w:p>
    <w:tbl>
      <w:tblPr>
        <w:tblStyle w:val="16"/>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0"/>
        <w:gridCol w:w="2601"/>
        <w:gridCol w:w="2722"/>
      </w:tblGrid>
      <w:tr w14:paraId="4F91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60" w:type="dxa"/>
            <w:noWrap/>
            <w:vAlign w:val="center"/>
          </w:tcPr>
          <w:p w14:paraId="17A07EB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试剂</w:t>
            </w:r>
          </w:p>
        </w:tc>
        <w:tc>
          <w:tcPr>
            <w:tcW w:w="2601" w:type="dxa"/>
            <w:noWrap/>
            <w:vAlign w:val="center"/>
          </w:tcPr>
          <w:p w14:paraId="03E001C0">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终浓度</w:t>
            </w:r>
          </w:p>
        </w:tc>
        <w:tc>
          <w:tcPr>
            <w:tcW w:w="2722" w:type="dxa"/>
            <w:noWrap/>
            <w:vAlign w:val="center"/>
          </w:tcPr>
          <w:p w14:paraId="0E42C549">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体积</w:t>
            </w:r>
          </w:p>
        </w:tc>
      </w:tr>
      <w:tr w14:paraId="28C3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12733994">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ddH</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w:t>
            </w:r>
          </w:p>
        </w:tc>
        <w:tc>
          <w:tcPr>
            <w:tcW w:w="2601" w:type="dxa"/>
            <w:noWrap/>
            <w:vAlign w:val="center"/>
          </w:tcPr>
          <w:p w14:paraId="319A7ABE">
            <w:pPr>
              <w:tabs>
                <w:tab w:val="left" w:pos="5265"/>
              </w:tabs>
              <w:jc w:val="center"/>
              <w:rPr>
                <w:rFonts w:hint="default" w:ascii="Times New Roman" w:hAnsi="Times New Roman" w:eastAsia="宋体" w:cs="Times New Roman"/>
                <w:sz w:val="18"/>
                <w:szCs w:val="18"/>
              </w:rPr>
            </w:pPr>
          </w:p>
        </w:tc>
        <w:tc>
          <w:tcPr>
            <w:tcW w:w="2722" w:type="dxa"/>
            <w:noWrap/>
            <w:vAlign w:val="center"/>
          </w:tcPr>
          <w:p w14:paraId="0A7B0A64">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527A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48B2BC2D">
            <w:pPr>
              <w:tabs>
                <w:tab w:val="left" w:pos="5265"/>
              </w:tabs>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10×PCR缓冲液</w:t>
            </w:r>
          </w:p>
        </w:tc>
        <w:tc>
          <w:tcPr>
            <w:tcW w:w="2601" w:type="dxa"/>
            <w:noWrap/>
            <w:vAlign w:val="center"/>
          </w:tcPr>
          <w:p w14:paraId="1D511218">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722" w:type="dxa"/>
            <w:noWrap/>
            <w:vAlign w:val="center"/>
          </w:tcPr>
          <w:p w14:paraId="7AC0741A">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µL</w:t>
            </w:r>
          </w:p>
        </w:tc>
      </w:tr>
      <w:tr w14:paraId="0E1B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665D9F41">
            <w:pPr>
              <w:tabs>
                <w:tab w:val="left" w:pos="5265"/>
              </w:tabs>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mmol/L氯化镁溶液</w:t>
            </w:r>
          </w:p>
        </w:tc>
        <w:tc>
          <w:tcPr>
            <w:tcW w:w="2601" w:type="dxa"/>
            <w:noWrap/>
            <w:vAlign w:val="center"/>
          </w:tcPr>
          <w:p w14:paraId="5E2AD691">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mmol/L</w:t>
            </w:r>
          </w:p>
        </w:tc>
        <w:tc>
          <w:tcPr>
            <w:tcW w:w="2722" w:type="dxa"/>
            <w:noWrap/>
            <w:vAlign w:val="center"/>
          </w:tcPr>
          <w:p w14:paraId="428F4988">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µL</w:t>
            </w:r>
          </w:p>
        </w:tc>
      </w:tr>
      <w:tr w14:paraId="35BF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7175EF50">
            <w:pPr>
              <w:tabs>
                <w:tab w:val="left" w:pos="5265"/>
              </w:tabs>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dNTPs混合溶液（各2.5 mmol/L）</w:t>
            </w:r>
          </w:p>
        </w:tc>
        <w:tc>
          <w:tcPr>
            <w:tcW w:w="2601" w:type="dxa"/>
            <w:noWrap/>
            <w:vAlign w:val="center"/>
          </w:tcPr>
          <w:p w14:paraId="7B475EAE">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0.2 mmol/L</w:t>
            </w:r>
          </w:p>
        </w:tc>
        <w:tc>
          <w:tcPr>
            <w:tcW w:w="2722" w:type="dxa"/>
            <w:noWrap/>
            <w:vAlign w:val="center"/>
          </w:tcPr>
          <w:p w14:paraId="46A3BC93">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 µL</w:t>
            </w:r>
          </w:p>
        </w:tc>
      </w:tr>
      <w:tr w14:paraId="2C93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4478194C">
            <w:pPr>
              <w:tabs>
                <w:tab w:val="left" w:pos="5265"/>
              </w:tabs>
              <w:textAlignment w:val="center"/>
              <w:outlineLvl w:val="5"/>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µmol/L</w:t>
            </w:r>
            <w:r>
              <w:rPr>
                <w:rFonts w:hint="default" w:ascii="Times New Roman" w:hAnsi="Times New Roman" w:eastAsia="宋体" w:cs="Times New Roman"/>
                <w:kern w:val="0"/>
                <w:sz w:val="18"/>
                <w:szCs w:val="18"/>
              </w:rPr>
              <w:t>上游引物</w:t>
            </w:r>
          </w:p>
        </w:tc>
        <w:tc>
          <w:tcPr>
            <w:tcW w:w="2601" w:type="dxa"/>
            <w:noWrap/>
            <w:vAlign w:val="center"/>
          </w:tcPr>
          <w:p w14:paraId="76E0E069">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 µmol/L</w:t>
            </w:r>
          </w:p>
        </w:tc>
        <w:tc>
          <w:tcPr>
            <w:tcW w:w="2722" w:type="dxa"/>
            <w:noWrap/>
            <w:vAlign w:val="center"/>
          </w:tcPr>
          <w:p w14:paraId="742DA144">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µL</w:t>
            </w:r>
          </w:p>
        </w:tc>
      </w:tr>
      <w:tr w14:paraId="7074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3D8D8353">
            <w:pPr>
              <w:tabs>
                <w:tab w:val="left" w:pos="5265"/>
              </w:tabs>
              <w:textAlignment w:val="center"/>
              <w:outlineLvl w:val="5"/>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µmol/L下游引物</w:t>
            </w:r>
          </w:p>
        </w:tc>
        <w:tc>
          <w:tcPr>
            <w:tcW w:w="2601" w:type="dxa"/>
            <w:noWrap/>
            <w:vAlign w:val="center"/>
          </w:tcPr>
          <w:p w14:paraId="40F3172E">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 µmol/L</w:t>
            </w:r>
          </w:p>
        </w:tc>
        <w:tc>
          <w:tcPr>
            <w:tcW w:w="2722" w:type="dxa"/>
            <w:noWrap/>
            <w:vAlign w:val="center"/>
          </w:tcPr>
          <w:p w14:paraId="3E78B663">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µL</w:t>
            </w:r>
          </w:p>
        </w:tc>
      </w:tr>
      <w:tr w14:paraId="455D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457E4212">
            <w:pPr>
              <w:tabs>
                <w:tab w:val="left" w:pos="5265"/>
              </w:tabs>
              <w:textAlignment w:val="center"/>
              <w:outlineLvl w:val="5"/>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 µmol/L探针</w:t>
            </w:r>
          </w:p>
        </w:tc>
        <w:tc>
          <w:tcPr>
            <w:tcW w:w="2601" w:type="dxa"/>
            <w:noWrap/>
            <w:vAlign w:val="center"/>
          </w:tcPr>
          <w:p w14:paraId="43610EE7">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0.2 µmol/L</w:t>
            </w:r>
          </w:p>
        </w:tc>
        <w:tc>
          <w:tcPr>
            <w:tcW w:w="2722" w:type="dxa"/>
            <w:noWrap/>
            <w:vAlign w:val="center"/>
          </w:tcPr>
          <w:p w14:paraId="09B72601">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 µL</w:t>
            </w:r>
          </w:p>
        </w:tc>
      </w:tr>
      <w:tr w14:paraId="5179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68C45848">
            <w:pPr>
              <w:tabs>
                <w:tab w:val="left" w:pos="5265"/>
              </w:tabs>
              <w:textAlignment w:val="center"/>
              <w:rPr>
                <w:rFonts w:hint="default" w:ascii="Times New Roman" w:hAnsi="Times New Roman" w:eastAsia="宋体" w:cs="Times New Roman"/>
                <w:sz w:val="18"/>
                <w:szCs w:val="18"/>
              </w:rPr>
            </w:pPr>
            <w:r>
              <w:rPr>
                <w:rFonts w:hint="default" w:ascii="Times New Roman" w:hAnsi="Times New Roman" w:eastAsia="宋体" w:cs="Times New Roman"/>
                <w:i/>
                <w:sz w:val="18"/>
                <w:szCs w:val="18"/>
              </w:rPr>
              <w:t>Taq</w:t>
            </w:r>
            <w:r>
              <w:rPr>
                <w:rFonts w:hint="default" w:ascii="Times New Roman" w:hAnsi="Times New Roman" w:eastAsia="宋体" w:cs="Times New Roman"/>
                <w:sz w:val="18"/>
                <w:szCs w:val="18"/>
              </w:rPr>
              <w:t xml:space="preserve"> DNA聚合酶</w:t>
            </w:r>
          </w:p>
        </w:tc>
        <w:tc>
          <w:tcPr>
            <w:tcW w:w="2601" w:type="dxa"/>
            <w:noWrap/>
            <w:vAlign w:val="center"/>
          </w:tcPr>
          <w:p w14:paraId="44B751A9">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0.04 U/µL</w:t>
            </w:r>
          </w:p>
        </w:tc>
        <w:tc>
          <w:tcPr>
            <w:tcW w:w="2722" w:type="dxa"/>
            <w:noWrap/>
            <w:vAlign w:val="center"/>
          </w:tcPr>
          <w:p w14:paraId="30A624F5">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5D26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4D7FDB30">
            <w:pPr>
              <w:tabs>
                <w:tab w:val="left" w:pos="5265"/>
              </w:tabs>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DNA模板</w:t>
            </w:r>
          </w:p>
        </w:tc>
        <w:tc>
          <w:tcPr>
            <w:tcW w:w="2601" w:type="dxa"/>
            <w:noWrap/>
            <w:vAlign w:val="center"/>
          </w:tcPr>
          <w:p w14:paraId="4537FB19">
            <w:pPr>
              <w:tabs>
                <w:tab w:val="left" w:pos="5265"/>
              </w:tabs>
              <w:jc w:val="center"/>
              <w:rPr>
                <w:rFonts w:hint="default" w:ascii="Times New Roman" w:hAnsi="Times New Roman" w:eastAsia="宋体" w:cs="Times New Roman"/>
                <w:sz w:val="18"/>
                <w:szCs w:val="18"/>
              </w:rPr>
            </w:pPr>
          </w:p>
        </w:tc>
        <w:tc>
          <w:tcPr>
            <w:tcW w:w="2722" w:type="dxa"/>
            <w:noWrap/>
            <w:vAlign w:val="center"/>
          </w:tcPr>
          <w:p w14:paraId="2021401C">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 µL</w:t>
            </w:r>
          </w:p>
        </w:tc>
      </w:tr>
      <w:tr w14:paraId="4F81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0" w:type="dxa"/>
            <w:noWrap/>
            <w:vAlign w:val="center"/>
          </w:tcPr>
          <w:p w14:paraId="4423C9F8">
            <w:pPr>
              <w:tabs>
                <w:tab w:val="left" w:pos="5265"/>
              </w:tabs>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总体积</w:t>
            </w:r>
          </w:p>
        </w:tc>
        <w:tc>
          <w:tcPr>
            <w:tcW w:w="2601" w:type="dxa"/>
            <w:noWrap/>
            <w:vAlign w:val="center"/>
          </w:tcPr>
          <w:p w14:paraId="7871DBBD">
            <w:pPr>
              <w:tabs>
                <w:tab w:val="left" w:pos="5265"/>
              </w:tabs>
              <w:jc w:val="center"/>
              <w:rPr>
                <w:rFonts w:hint="default" w:ascii="Times New Roman" w:hAnsi="Times New Roman" w:eastAsia="宋体" w:cs="Times New Roman"/>
                <w:sz w:val="18"/>
                <w:szCs w:val="18"/>
              </w:rPr>
            </w:pPr>
          </w:p>
        </w:tc>
        <w:tc>
          <w:tcPr>
            <w:tcW w:w="2722" w:type="dxa"/>
            <w:noWrap/>
            <w:vAlign w:val="center"/>
          </w:tcPr>
          <w:p w14:paraId="4808CE8E">
            <w:pPr>
              <w:tabs>
                <w:tab w:val="left" w:pos="5265"/>
              </w:tabs>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 µL</w:t>
            </w:r>
          </w:p>
        </w:tc>
      </w:tr>
      <w:tr w14:paraId="38F7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3" w:type="dxa"/>
            <w:gridSpan w:val="3"/>
            <w:noWrap/>
            <w:vAlign w:val="center"/>
          </w:tcPr>
          <w:p w14:paraId="5B1D80D7">
            <w:pPr>
              <w:tabs>
                <w:tab w:val="left" w:pos="5265"/>
              </w:tabs>
              <w:ind w:firstLine="360" w:firstLineChars="200"/>
              <w:textAlignment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“—”表示体积不确定，如果PCR缓冲液中含有氯化镁，则不加氯化镁溶液，根据</w:t>
            </w:r>
            <w:r>
              <w:rPr>
                <w:rFonts w:hint="default" w:ascii="Times New Roman" w:hAnsi="Times New Roman" w:eastAsia="宋体" w:cs="Times New Roman"/>
                <w:i/>
                <w:iCs/>
                <w:sz w:val="18"/>
                <w:szCs w:val="18"/>
              </w:rPr>
              <w:t>Taq</w:t>
            </w:r>
            <w:r>
              <w:rPr>
                <w:rFonts w:hint="default" w:ascii="Times New Roman" w:hAnsi="Times New Roman" w:eastAsia="宋体" w:cs="Times New Roman"/>
                <w:sz w:val="18"/>
                <w:szCs w:val="18"/>
              </w:rPr>
              <w:t xml:space="preserve"> DNA聚合酶的浓度确定其体积，并相应调整ddH</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O的体积，使反应体系总体积达到25.0 µL。校准品</w:t>
            </w:r>
            <w:r>
              <w:rPr>
                <w:rFonts w:hint="default" w:ascii="Times New Roman" w:hAnsi="Times New Roman" w:eastAsia="宋体" w:cs="Times New Roman"/>
                <w:bCs/>
                <w:sz w:val="18"/>
                <w:szCs w:val="18"/>
              </w:rPr>
              <w:t>反应体系中</w:t>
            </w:r>
            <w:r>
              <w:rPr>
                <w:rFonts w:hint="default" w:ascii="Times New Roman" w:hAnsi="Times New Roman" w:eastAsia="宋体" w:cs="Times New Roman"/>
                <w:sz w:val="18"/>
                <w:szCs w:val="18"/>
              </w:rPr>
              <w:t>DNA模板量不大于200 ng；试样DNA模板为100 ng。</w:t>
            </w:r>
          </w:p>
          <w:p w14:paraId="764B3130">
            <w:pPr>
              <w:tabs>
                <w:tab w:val="left" w:pos="5265"/>
              </w:tabs>
              <w:ind w:firstLine="360" w:firstLineChars="200"/>
              <w:outlineLvl w:val="5"/>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玉米内标准基因PCR扩增体系中，上、下游引物和探针分别为zSSIIb-3F、zSSIIb-4R和zSSIIb-P；</w:t>
            </w:r>
            <w:r>
              <w:rPr>
                <w:rFonts w:hint="eastAsia" w:cs="Times New Roman"/>
                <w:bCs/>
                <w:sz w:val="18"/>
                <w:szCs w:val="18"/>
                <w:lang w:eastAsia="zh-CN"/>
              </w:rPr>
              <w:t>QY2569-42</w:t>
            </w:r>
            <w:r>
              <w:rPr>
                <w:rFonts w:hint="default" w:ascii="Times New Roman" w:hAnsi="Times New Roman" w:eastAsia="宋体" w:cs="Times New Roman"/>
                <w:bCs/>
                <w:sz w:val="18"/>
                <w:szCs w:val="18"/>
              </w:rPr>
              <w:t>转化体特异性序列PCR扩增体系中，上、下游引物和探针分别为</w:t>
            </w:r>
            <w:r>
              <w:rPr>
                <w:rFonts w:hint="eastAsia" w:cs="Times New Roman"/>
                <w:bCs/>
                <w:sz w:val="18"/>
                <w:szCs w:val="18"/>
                <w:lang w:eastAsia="zh-CN"/>
              </w:rPr>
              <w:t>QY2569-42</w:t>
            </w:r>
            <w:r>
              <w:rPr>
                <w:rFonts w:hint="default" w:ascii="Times New Roman" w:hAnsi="Times New Roman" w:eastAsia="宋体" w:cs="Times New Roman"/>
                <w:bCs/>
                <w:sz w:val="18"/>
                <w:szCs w:val="18"/>
              </w:rPr>
              <w:t>-QF、</w:t>
            </w:r>
            <w:r>
              <w:rPr>
                <w:rFonts w:hint="eastAsia" w:cs="Times New Roman"/>
                <w:bCs/>
                <w:sz w:val="18"/>
                <w:szCs w:val="18"/>
                <w:lang w:eastAsia="zh-CN"/>
              </w:rPr>
              <w:t>QY2569-42</w:t>
            </w:r>
            <w:r>
              <w:rPr>
                <w:rFonts w:hint="default" w:ascii="Times New Roman" w:hAnsi="Times New Roman" w:eastAsia="宋体" w:cs="Times New Roman"/>
                <w:bCs/>
                <w:sz w:val="18"/>
                <w:szCs w:val="18"/>
              </w:rPr>
              <w:t>-QR和</w:t>
            </w:r>
            <w:r>
              <w:rPr>
                <w:rFonts w:hint="eastAsia" w:cs="Times New Roman"/>
                <w:bCs/>
                <w:sz w:val="18"/>
                <w:szCs w:val="18"/>
                <w:lang w:eastAsia="zh-CN"/>
              </w:rPr>
              <w:t>QY2569-42</w:t>
            </w:r>
            <w:r>
              <w:rPr>
                <w:rFonts w:hint="default" w:ascii="Times New Roman" w:hAnsi="Times New Roman" w:eastAsia="宋体" w:cs="Times New Roman"/>
                <w:bCs/>
                <w:sz w:val="18"/>
                <w:szCs w:val="18"/>
              </w:rPr>
              <w:t>-QP。</w:t>
            </w:r>
          </w:p>
          <w:p w14:paraId="78ED9B93">
            <w:pPr>
              <w:tabs>
                <w:tab w:val="left" w:pos="5265"/>
              </w:tabs>
              <w:ind w:firstLine="360" w:firstLineChars="200"/>
              <w:outlineLvl w:val="5"/>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反应扩增体系可根据仪器及试剂耗材的实际使用情况，进行相应调整。</w:t>
            </w:r>
          </w:p>
          <w:p w14:paraId="08FB5B70">
            <w:pPr>
              <w:tabs>
                <w:tab w:val="left" w:pos="5265"/>
              </w:tabs>
              <w:ind w:firstLine="360" w:firstLineChars="20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此表是1个反应体系的体积，应按照实际反应数量进行扩增体系配制。</w:t>
            </w:r>
          </w:p>
          <w:p w14:paraId="18111A70">
            <w:pPr>
              <w:ind w:firstLine="36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空白质控品用2.0 µL的水作模板。</w:t>
            </w:r>
          </w:p>
        </w:tc>
      </w:tr>
    </w:tbl>
    <w:p w14:paraId="56347D60">
      <w:pPr>
        <w:pStyle w:val="4"/>
        <w:bidi w:val="0"/>
        <w:spacing w:before="50" w:beforeLines="50" w:after="50" w:afterLines="50" w:line="240" w:lineRule="auto"/>
        <w:ind w:firstLine="420" w:firstLineChars="200"/>
        <w:rPr>
          <w:rFonts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3. 特异性测试</w:t>
      </w:r>
    </w:p>
    <w:p w14:paraId="2DB0FCE7">
      <w:pPr>
        <w:pStyle w:val="4"/>
        <w:bidi w:val="0"/>
        <w:spacing w:before="50" w:beforeLines="50" w:after="50" w:afterLines="50" w:line="240" w:lineRule="auto"/>
        <w:ind w:firstLine="420" w:firstLineChars="200"/>
        <w:rPr>
          <w:rFonts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3.1 测试样品的设置</w:t>
      </w:r>
    </w:p>
    <w:p w14:paraId="0E59B4F7">
      <w:pPr>
        <w:tabs>
          <w:tab w:val="left" w:pos="3315"/>
        </w:tabs>
        <w:spacing w:line="360" w:lineRule="auto"/>
        <w:ind w:firstLine="420" w:firstLineChars="200"/>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利用“方法一3.1”的结果不重做。</w:t>
      </w:r>
    </w:p>
    <w:p w14:paraId="1E1CDC9D">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3.2 样品的特异性测试</w:t>
      </w:r>
    </w:p>
    <w:p w14:paraId="3E5DB22D">
      <w:pPr>
        <w:tabs>
          <w:tab w:val="left" w:pos="3315"/>
        </w:tabs>
        <w:spacing w:line="360" w:lineRule="auto"/>
        <w:ind w:firstLine="420" w:firstLineChars="200"/>
        <w:rPr>
          <w:rFonts w:hint="eastAsia" w:ascii="Times New Roman" w:hAnsi="Times New Roman" w:cs="Calibri"/>
          <w:szCs w:val="22"/>
          <w:lang w:val="en-US" w:eastAsia="zh-CN"/>
        </w:rPr>
      </w:pPr>
      <w:r>
        <w:rPr>
          <w:rFonts w:hint="eastAsia" w:ascii="Times New Roman" w:hAnsi="Times New Roman" w:cs="Times New Roman"/>
          <w:szCs w:val="22"/>
          <w:lang w:val="en-US" w:eastAsia="zh-CN"/>
        </w:rPr>
        <w:t>引物与荧光定性方法一致，则按照“方法一3.2”的结果不重做。</w:t>
      </w:r>
    </w:p>
    <w:p w14:paraId="786F6A80">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4. 靶标序列测序验证</w:t>
      </w:r>
    </w:p>
    <w:p w14:paraId="53387013">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引物与荧光定性方法一致，则按照“方法一的4”的结果不重做。</w:t>
      </w:r>
    </w:p>
    <w:p w14:paraId="15E7A6D8">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5. 标准曲线的建立</w:t>
      </w:r>
    </w:p>
    <w:p w14:paraId="553C9D3A">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5.1 标准曲线的制备</w:t>
      </w:r>
    </w:p>
    <w:p w14:paraId="4FC079FC">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Calibri"/>
          <w:szCs w:val="22"/>
          <w:lang w:val="en-US" w:eastAsia="zh-CN"/>
        </w:rPr>
      </w:pPr>
      <w:r>
        <w:rPr>
          <w:rFonts w:hint="default" w:ascii="Times New Roman" w:hAnsi="Times New Roman" w:cs="Times New Roman"/>
          <w:szCs w:val="22"/>
          <w:lang w:val="en-US" w:eastAsia="zh-CN"/>
        </w:rPr>
        <w:t>根据</w:t>
      </w:r>
      <w:r>
        <w:rPr>
          <w:rFonts w:hint="eastAsia" w:cs="Times New Roman"/>
          <w:szCs w:val="22"/>
          <w:lang w:val="en-US" w:eastAsia="zh-CN"/>
        </w:rPr>
        <w:t>农业部2259号公告—5—2015</w:t>
      </w:r>
      <w:r>
        <w:rPr>
          <w:rFonts w:hint="default" w:ascii="Times New Roman" w:hAnsi="Times New Roman" w:cs="Times New Roman"/>
          <w:szCs w:val="22"/>
          <w:lang w:val="en-US" w:eastAsia="zh-CN"/>
        </w:rPr>
        <w:t>的要求，为绘制出</w:t>
      </w:r>
      <w:r>
        <w:rPr>
          <w:rFonts w:hint="eastAsia" w:cs="Times New Roman"/>
          <w:szCs w:val="22"/>
          <w:lang w:val="en-US" w:eastAsia="zh-CN"/>
        </w:rPr>
        <w:t>QY2569-42</w:t>
      </w:r>
      <w:r>
        <w:rPr>
          <w:rFonts w:hint="default" w:ascii="Times New Roman" w:hAnsi="Times New Roman" w:cs="Times New Roman"/>
          <w:szCs w:val="22"/>
          <w:lang w:val="en-US" w:eastAsia="zh-CN"/>
        </w:rPr>
        <w:t>检测方法的标准曲线，提取抗虫耐除草剂玉米</w:t>
      </w:r>
      <w:r>
        <w:rPr>
          <w:rFonts w:hint="eastAsia" w:cs="Times New Roman"/>
          <w:szCs w:val="22"/>
          <w:lang w:val="en-US" w:eastAsia="zh-CN"/>
        </w:rPr>
        <w:t>QY2569-42</w:t>
      </w:r>
      <w:r>
        <w:rPr>
          <w:rFonts w:hint="default" w:ascii="Times New Roman" w:hAnsi="Times New Roman" w:cs="Times New Roman"/>
          <w:szCs w:val="22"/>
          <w:lang w:val="en-US" w:eastAsia="zh-CN"/>
        </w:rPr>
        <w:t>纯合体基因组DNA（理论转基因含量100%），将基因组DNA浓度稀释到50 ng/μL。然后用水或0.1×TE缓冲液对基因组DNA进行梯度稀释，依次稀释配制5个不同含量（拷贝数浓度）的校准品。以校准品为模板进行实时荧光PCR反应，PCR体系中DNA模板量为2 μL，对应的DNA质量和拷贝数见表</w:t>
      </w:r>
      <w:r>
        <w:rPr>
          <w:rFonts w:hint="eastAsia" w:cs="Times New Roman"/>
          <w:szCs w:val="22"/>
          <w:lang w:val="en-US" w:eastAsia="zh-CN"/>
        </w:rPr>
        <w:t>2-11</w:t>
      </w:r>
      <w:r>
        <w:rPr>
          <w:rFonts w:hint="default" w:ascii="Times New Roman" w:hAnsi="Times New Roman" w:cs="Times New Roman"/>
          <w:szCs w:val="22"/>
          <w:lang w:val="en-US" w:eastAsia="zh-CN"/>
        </w:rPr>
        <w:t>。</w:t>
      </w:r>
    </w:p>
    <w:p w14:paraId="22E0D3B9">
      <w:pPr>
        <w:pStyle w:val="8"/>
        <w:spacing w:line="360" w:lineRule="auto"/>
        <w:jc w:val="center"/>
        <w:rPr>
          <w:rFonts w:ascii="Times New Roman" w:hAnsi="Times New Roman" w:eastAsia="仿宋"/>
          <w:b/>
          <w:bCs/>
          <w:sz w:val="24"/>
          <w:highlight w:val="none"/>
        </w:rPr>
      </w:pPr>
      <w:r>
        <w:rPr>
          <w:rFonts w:ascii="Times New Roman" w:hAnsi="Times New Roman" w:eastAsia="黑体" w:cs="Calibri"/>
          <w:kern w:val="2"/>
          <w:sz w:val="18"/>
          <w:szCs w:val="22"/>
          <w:lang w:val="en-US" w:eastAsia="zh-CN" w:bidi="ar-SA"/>
        </w:rPr>
        <w:t>表</w:t>
      </w:r>
      <w:r>
        <w:rPr>
          <w:rFonts w:hint="eastAsia" w:ascii="Times New Roman" w:hAnsi="Times New Roman" w:eastAsia="黑体" w:cs="Calibri"/>
          <w:kern w:val="2"/>
          <w:sz w:val="18"/>
          <w:szCs w:val="22"/>
          <w:lang w:val="en-US" w:eastAsia="zh-CN" w:bidi="ar-SA"/>
        </w:rPr>
        <w:t>2-11</w:t>
      </w:r>
      <w:r>
        <w:rPr>
          <w:rFonts w:ascii="Times New Roman" w:hAnsi="Times New Roman" w:eastAsia="黑体" w:cs="Calibri"/>
          <w:kern w:val="2"/>
          <w:sz w:val="18"/>
          <w:szCs w:val="22"/>
          <w:lang w:val="en-US" w:eastAsia="zh-CN" w:bidi="ar-SA"/>
        </w:rPr>
        <w:t xml:space="preserve"> 抗虫耐除草剂玉米</w:t>
      </w:r>
      <w:r>
        <w:rPr>
          <w:rFonts w:hint="eastAsia" w:ascii="Times New Roman" w:hAnsi="Times New Roman" w:eastAsia="黑体" w:cs="Calibri"/>
          <w:kern w:val="2"/>
          <w:sz w:val="18"/>
          <w:szCs w:val="22"/>
          <w:lang w:val="en-US" w:eastAsia="zh-CN" w:bidi="ar-SA"/>
        </w:rPr>
        <w:t>QY2569-42</w:t>
      </w:r>
      <w:r>
        <w:rPr>
          <w:rFonts w:ascii="Times New Roman" w:hAnsi="Times New Roman" w:eastAsia="黑体" w:cs="Calibri"/>
          <w:kern w:val="2"/>
          <w:sz w:val="18"/>
          <w:szCs w:val="22"/>
          <w:lang w:val="en-US" w:eastAsia="zh-CN" w:bidi="ar-SA"/>
        </w:rPr>
        <w:t>检测体系中的DNA含量</w:t>
      </w:r>
    </w:p>
    <w:tbl>
      <w:tblPr>
        <w:tblStyle w:val="16"/>
        <w:tblW w:w="5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199"/>
        <w:gridCol w:w="2303"/>
      </w:tblGrid>
      <w:tr w14:paraId="7FBD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3" w:type="dxa"/>
            <w:noWrap/>
            <w:vAlign w:val="center"/>
          </w:tcPr>
          <w:p w14:paraId="331CCE84">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样品编号</w:t>
            </w:r>
          </w:p>
        </w:tc>
        <w:tc>
          <w:tcPr>
            <w:tcW w:w="2199" w:type="dxa"/>
            <w:noWrap/>
            <w:vAlign w:val="center"/>
          </w:tcPr>
          <w:p w14:paraId="5FD3CE6E">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反应体系中</w:t>
            </w:r>
          </w:p>
          <w:p w14:paraId="0062C970">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DNA含量(</w:t>
            </w:r>
            <w:r>
              <w:rPr>
                <w:rFonts w:hint="default" w:ascii="Times New Roman" w:hAnsi="Times New Roman" w:eastAsia="宋体" w:cs="Times New Roman"/>
                <w:b/>
                <w:bCs/>
                <w:sz w:val="18"/>
                <w:szCs w:val="18"/>
                <w:highlight w:val="none"/>
              </w:rPr>
              <w:t>ng</w:t>
            </w:r>
            <w:r>
              <w:rPr>
                <w:rFonts w:hint="default" w:ascii="Times New Roman" w:hAnsi="Times New Roman" w:eastAsia="宋体" w:cs="Times New Roman"/>
                <w:b/>
                <w:sz w:val="18"/>
                <w:szCs w:val="18"/>
                <w:highlight w:val="none"/>
              </w:rPr>
              <w:t>)</w:t>
            </w:r>
          </w:p>
        </w:tc>
        <w:tc>
          <w:tcPr>
            <w:tcW w:w="2303" w:type="dxa"/>
            <w:noWrap/>
          </w:tcPr>
          <w:p w14:paraId="74454192">
            <w:pPr>
              <w:jc w:val="center"/>
              <w:rPr>
                <w:rFonts w:hint="default" w:ascii="Times New Roman" w:hAnsi="Times New Roman" w:eastAsia="宋体" w:cs="Times New Roman"/>
                <w:b/>
                <w:sz w:val="18"/>
                <w:szCs w:val="18"/>
                <w:highlight w:val="none"/>
              </w:rPr>
            </w:pPr>
            <w:r>
              <w:rPr>
                <w:rFonts w:hint="eastAsia" w:cs="Times New Roman"/>
                <w:b/>
                <w:sz w:val="18"/>
                <w:szCs w:val="18"/>
                <w:highlight w:val="none"/>
                <w:lang w:eastAsia="zh-CN"/>
              </w:rPr>
              <w:t>QY2569-42</w:t>
            </w:r>
            <w:r>
              <w:rPr>
                <w:rFonts w:hint="default" w:ascii="Times New Roman" w:hAnsi="Times New Roman" w:eastAsia="宋体" w:cs="Times New Roman"/>
                <w:b/>
                <w:sz w:val="18"/>
                <w:szCs w:val="18"/>
                <w:highlight w:val="none"/>
              </w:rPr>
              <w:t>玉米</w:t>
            </w:r>
          </w:p>
          <w:p w14:paraId="2D079168">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拷贝数(copies)</w:t>
            </w:r>
          </w:p>
        </w:tc>
      </w:tr>
      <w:tr w14:paraId="5477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3" w:type="dxa"/>
            <w:noWrap/>
            <w:vAlign w:val="center"/>
          </w:tcPr>
          <w:p w14:paraId="578DCCE8">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S1</w:t>
            </w:r>
          </w:p>
        </w:tc>
        <w:tc>
          <w:tcPr>
            <w:tcW w:w="2199" w:type="dxa"/>
            <w:noWrap/>
            <w:vAlign w:val="center"/>
          </w:tcPr>
          <w:p w14:paraId="1DAFB184">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100</w:t>
            </w:r>
          </w:p>
        </w:tc>
        <w:tc>
          <w:tcPr>
            <w:tcW w:w="2303" w:type="dxa"/>
            <w:noWrap/>
            <w:vAlign w:val="center"/>
          </w:tcPr>
          <w:p w14:paraId="4CCF9D71">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40000</w:t>
            </w:r>
          </w:p>
        </w:tc>
      </w:tr>
      <w:tr w14:paraId="1157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3" w:type="dxa"/>
            <w:noWrap/>
            <w:vAlign w:val="center"/>
          </w:tcPr>
          <w:p w14:paraId="42ED51A1">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S2</w:t>
            </w:r>
          </w:p>
        </w:tc>
        <w:tc>
          <w:tcPr>
            <w:tcW w:w="2199" w:type="dxa"/>
            <w:noWrap/>
            <w:vAlign w:val="center"/>
          </w:tcPr>
          <w:p w14:paraId="19D19CD6">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16.67</w:t>
            </w:r>
          </w:p>
        </w:tc>
        <w:tc>
          <w:tcPr>
            <w:tcW w:w="2303" w:type="dxa"/>
            <w:noWrap/>
            <w:vAlign w:val="center"/>
          </w:tcPr>
          <w:p w14:paraId="07526266">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6667</w:t>
            </w:r>
          </w:p>
        </w:tc>
      </w:tr>
      <w:tr w14:paraId="6CEB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3" w:type="dxa"/>
            <w:noWrap/>
            <w:vAlign w:val="center"/>
          </w:tcPr>
          <w:p w14:paraId="2A905A4A">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S3</w:t>
            </w:r>
          </w:p>
        </w:tc>
        <w:tc>
          <w:tcPr>
            <w:tcW w:w="2199" w:type="dxa"/>
            <w:noWrap/>
            <w:vAlign w:val="center"/>
          </w:tcPr>
          <w:p w14:paraId="7D4DA57E">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2.78</w:t>
            </w:r>
          </w:p>
        </w:tc>
        <w:tc>
          <w:tcPr>
            <w:tcW w:w="2303" w:type="dxa"/>
            <w:noWrap/>
            <w:vAlign w:val="center"/>
          </w:tcPr>
          <w:p w14:paraId="4C4A4B0F">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1111</w:t>
            </w:r>
          </w:p>
        </w:tc>
      </w:tr>
      <w:tr w14:paraId="6577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3" w:type="dxa"/>
            <w:noWrap/>
            <w:vAlign w:val="center"/>
          </w:tcPr>
          <w:p w14:paraId="2073C9DB">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S4</w:t>
            </w:r>
          </w:p>
        </w:tc>
        <w:tc>
          <w:tcPr>
            <w:tcW w:w="2199" w:type="dxa"/>
            <w:noWrap/>
            <w:vAlign w:val="center"/>
          </w:tcPr>
          <w:p w14:paraId="65F7C876">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0.46</w:t>
            </w:r>
          </w:p>
        </w:tc>
        <w:tc>
          <w:tcPr>
            <w:tcW w:w="2303" w:type="dxa"/>
            <w:noWrap/>
            <w:vAlign w:val="center"/>
          </w:tcPr>
          <w:p w14:paraId="35E805F4">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185</w:t>
            </w:r>
          </w:p>
        </w:tc>
      </w:tr>
      <w:tr w14:paraId="6E29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3" w:type="dxa"/>
            <w:noWrap/>
            <w:vAlign w:val="center"/>
          </w:tcPr>
          <w:p w14:paraId="6E5C82DF">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S5</w:t>
            </w:r>
          </w:p>
        </w:tc>
        <w:tc>
          <w:tcPr>
            <w:tcW w:w="2199" w:type="dxa"/>
            <w:noWrap/>
            <w:vAlign w:val="center"/>
          </w:tcPr>
          <w:p w14:paraId="79116D9F">
            <w:pPr>
              <w:widowControl/>
              <w:jc w:val="center"/>
              <w:rPr>
                <w:rFonts w:hint="default" w:ascii="Times New Roman" w:hAnsi="Times New Roman" w:eastAsia="宋体" w:cs="Times New Roman"/>
                <w:kern w:val="0"/>
                <w:sz w:val="18"/>
                <w:szCs w:val="18"/>
                <w:highlight w:val="none"/>
                <w:lang w:eastAsia="zh-CN"/>
              </w:rPr>
            </w:pPr>
            <w:r>
              <w:rPr>
                <w:rFonts w:hint="default" w:ascii="Times New Roman" w:hAnsi="Times New Roman" w:eastAsia="宋体" w:cs="Times New Roman"/>
                <w:kern w:val="0"/>
                <w:sz w:val="18"/>
                <w:szCs w:val="18"/>
                <w:highlight w:val="none"/>
              </w:rPr>
              <w:t>0.0</w:t>
            </w:r>
            <w:r>
              <w:rPr>
                <w:rFonts w:hint="default" w:ascii="Times New Roman" w:hAnsi="Times New Roman" w:eastAsia="宋体" w:cs="Times New Roman"/>
                <w:kern w:val="0"/>
                <w:sz w:val="18"/>
                <w:szCs w:val="18"/>
                <w:highlight w:val="none"/>
                <w:lang w:val="en-US" w:eastAsia="zh-CN"/>
              </w:rPr>
              <w:t>8</w:t>
            </w:r>
          </w:p>
        </w:tc>
        <w:tc>
          <w:tcPr>
            <w:tcW w:w="2303" w:type="dxa"/>
            <w:noWrap/>
            <w:vAlign w:val="center"/>
          </w:tcPr>
          <w:p w14:paraId="0539D912">
            <w:pPr>
              <w:widowControl/>
              <w:jc w:val="center"/>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lang w:val="en-US" w:eastAsia="zh-CN"/>
              </w:rPr>
              <w:t>31</w:t>
            </w:r>
          </w:p>
        </w:tc>
      </w:tr>
    </w:tbl>
    <w:p w14:paraId="619AAE0B">
      <w:pPr>
        <w:pStyle w:val="4"/>
        <w:bidi w:val="0"/>
        <w:spacing w:before="50" w:beforeLines="50" w:after="50" w:afterLines="50" w:line="240" w:lineRule="auto"/>
        <w:ind w:firstLine="420" w:firstLineChars="200"/>
        <w:rPr>
          <w:rFonts w:hint="default" w:ascii="Times New Roman" w:hAnsi="Times New Roman" w:eastAsia="黑体" w:cs="Calibri"/>
          <w:b w:val="0"/>
          <w:sz w:val="21"/>
          <w:lang w:val="en-US" w:eastAsia="zh-CN"/>
        </w:rPr>
      </w:pPr>
      <w:r>
        <w:rPr>
          <w:rFonts w:hint="default" w:ascii="Times New Roman" w:hAnsi="Times New Roman" w:eastAsia="黑体" w:cs="Calibri"/>
          <w:b w:val="0"/>
          <w:sz w:val="21"/>
          <w:lang w:val="en-US" w:eastAsia="zh-CN"/>
        </w:rPr>
        <w:t>5.2 标准</w:t>
      </w:r>
      <w:r>
        <w:rPr>
          <w:rFonts w:hint="default" w:ascii="Times New Roman" w:hAnsi="Times New Roman" w:eastAsia="黑体" w:cs="Calibri"/>
          <w:b w:val="0"/>
          <w:bCs/>
          <w:kern w:val="2"/>
          <w:sz w:val="21"/>
          <w:szCs w:val="32"/>
          <w:lang w:val="en-US" w:eastAsia="zh-CN" w:bidi="ar-SA"/>
        </w:rPr>
        <w:t>曲线</w:t>
      </w:r>
      <w:r>
        <w:rPr>
          <w:rFonts w:hint="default" w:ascii="Times New Roman" w:hAnsi="Times New Roman" w:eastAsia="黑体" w:cs="Calibri"/>
          <w:b w:val="0"/>
          <w:sz w:val="21"/>
          <w:lang w:val="en-US" w:eastAsia="zh-CN"/>
        </w:rPr>
        <w:t>的斜率、决定系数和PCR扩增效率合格判定</w:t>
      </w:r>
    </w:p>
    <w:p w14:paraId="48C8EDA5">
      <w:pPr>
        <w:pStyle w:val="4"/>
        <w:bidi w:val="0"/>
        <w:spacing w:before="50" w:beforeLines="50" w:after="50" w:afterLines="50" w:line="240" w:lineRule="auto"/>
        <w:ind w:firstLine="420" w:firstLineChars="200"/>
        <w:rPr>
          <w:rFonts w:hint="eastAsia" w:ascii="Times New Roman" w:hAnsi="Times New Roman" w:eastAsia="黑体" w:cs="Calibri"/>
          <w:b w:val="0"/>
          <w:sz w:val="21"/>
          <w:lang w:val="en-US" w:eastAsia="zh-CN"/>
        </w:rPr>
      </w:pPr>
      <w:r>
        <w:rPr>
          <w:rFonts w:hint="default" w:ascii="Times New Roman" w:hAnsi="Times New Roman" w:eastAsia="黑体" w:cs="Calibri"/>
          <w:b w:val="0"/>
          <w:sz w:val="21"/>
          <w:lang w:val="en-US" w:eastAsia="zh-CN"/>
        </w:rPr>
        <w:t>5.2.1 标准</w:t>
      </w:r>
      <w:r>
        <w:rPr>
          <w:rFonts w:hint="default" w:ascii="Times New Roman" w:hAnsi="Times New Roman" w:eastAsia="黑体" w:cs="Calibri"/>
          <w:b w:val="0"/>
          <w:bCs/>
          <w:kern w:val="2"/>
          <w:sz w:val="21"/>
          <w:szCs w:val="32"/>
          <w:lang w:val="en-US" w:eastAsia="zh-CN" w:bidi="ar-SA"/>
        </w:rPr>
        <w:t>曲线</w:t>
      </w:r>
      <w:r>
        <w:rPr>
          <w:rFonts w:hint="default" w:ascii="Times New Roman" w:hAnsi="Times New Roman" w:eastAsia="黑体" w:cs="Calibri"/>
          <w:b w:val="0"/>
          <w:sz w:val="21"/>
          <w:lang w:val="en-US" w:eastAsia="zh-CN"/>
        </w:rPr>
        <w:t>合</w:t>
      </w:r>
      <w:r>
        <w:rPr>
          <w:rFonts w:hint="eastAsia" w:ascii="Times New Roman" w:hAnsi="Times New Roman" w:eastAsia="黑体" w:cs="Calibri"/>
          <w:b w:val="0"/>
          <w:sz w:val="21"/>
          <w:lang w:val="en-US" w:eastAsia="zh-CN"/>
        </w:rPr>
        <w:t>格判定标准</w:t>
      </w:r>
    </w:p>
    <w:p w14:paraId="24AA7DAD">
      <w:pPr>
        <w:tabs>
          <w:tab w:val="left" w:pos="3315"/>
        </w:tabs>
        <w:spacing w:line="360" w:lineRule="auto"/>
        <w:ind w:firstLine="420" w:firstLineChars="200"/>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标准曲线斜率、决定系数和PCR扩增效率合格判定依据《转基因植物及其产品成分检测  实时荧光定量PCR方法制定指南》（</w:t>
      </w:r>
      <w:r>
        <w:rPr>
          <w:rFonts w:hint="eastAsia" w:cs="Times New Roman"/>
          <w:szCs w:val="22"/>
          <w:lang w:val="en-US" w:eastAsia="zh-CN"/>
        </w:rPr>
        <w:t>农业部2259号公告—5—2015</w:t>
      </w:r>
      <w:r>
        <w:rPr>
          <w:rFonts w:hint="default" w:ascii="Times New Roman" w:hAnsi="Times New Roman" w:cs="Times New Roman"/>
          <w:szCs w:val="22"/>
          <w:lang w:val="en-US" w:eastAsia="zh-CN"/>
        </w:rPr>
        <w:t>），其中实时荧光定量PCR的线性度以线性回归曲线的决定系数R</w:t>
      </w:r>
      <w:r>
        <w:rPr>
          <w:rFonts w:hint="default" w:ascii="Times New Roman" w:hAnsi="Times New Roman" w:cs="Times New Roman"/>
          <w:szCs w:val="22"/>
          <w:vertAlign w:val="superscript"/>
          <w:lang w:val="en-US" w:eastAsia="zh-CN"/>
        </w:rPr>
        <w:t>2</w:t>
      </w:r>
      <w:r>
        <w:rPr>
          <w:rFonts w:hint="default" w:ascii="Times New Roman" w:hAnsi="Times New Roman" w:cs="Times New Roman"/>
          <w:szCs w:val="22"/>
          <w:lang w:val="en-US" w:eastAsia="zh-CN"/>
        </w:rPr>
        <w:t>表示，均值一般应≥0.98；标准曲线的斜率应在-3.6～-3.1；标准曲线的扩增效率E应在90%～110%。</w:t>
      </w:r>
    </w:p>
    <w:p w14:paraId="65FE211C">
      <w:pPr>
        <w:pStyle w:val="4"/>
        <w:bidi w:val="0"/>
        <w:spacing w:before="50" w:beforeLines="50" w:after="50" w:afterLines="50" w:line="240" w:lineRule="auto"/>
        <w:ind w:firstLine="420" w:firstLineChars="200"/>
        <w:rPr>
          <w:rFonts w:hint="default" w:ascii="Times New Roman" w:hAnsi="Times New Roman" w:eastAsia="黑体" w:cs="Calibri"/>
          <w:b w:val="0"/>
          <w:bCs/>
          <w:kern w:val="2"/>
          <w:sz w:val="21"/>
          <w:szCs w:val="32"/>
          <w:lang w:val="en-US" w:eastAsia="zh-CN" w:bidi="ar-SA"/>
        </w:rPr>
      </w:pPr>
      <w:r>
        <w:rPr>
          <w:rFonts w:hint="default" w:ascii="Times New Roman" w:hAnsi="Times New Roman" w:eastAsia="黑体" w:cs="Calibri"/>
          <w:b w:val="0"/>
          <w:bCs/>
          <w:kern w:val="2"/>
          <w:sz w:val="21"/>
          <w:szCs w:val="32"/>
          <w:lang w:val="en-US" w:eastAsia="zh-CN" w:bidi="ar-SA"/>
        </w:rPr>
        <w:t>5.2.2 标准曲线各参数的计算方法</w:t>
      </w:r>
    </w:p>
    <w:p w14:paraId="5EAD9554">
      <w:pPr>
        <w:keepNext w:val="0"/>
        <w:keepLines w:val="0"/>
        <w:pageBreakBefore w:val="0"/>
        <w:widowControl w:val="0"/>
        <w:kinsoku/>
        <w:wordWrap/>
        <w:overflowPunct/>
        <w:topLinePunct w:val="0"/>
        <w:autoSpaceDE/>
        <w:autoSpaceDN/>
        <w:bidi w:val="0"/>
        <w:adjustRightInd/>
        <w:snapToGrid/>
        <w:spacing w:line="312" w:lineRule="auto"/>
        <w:ind w:firstLine="424" w:firstLineChars="20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一般情况下仪器会自动给出标准曲线的各参数。当仪器无法自动实现时，实验室根据各水平校准品（一般设置5个水平，</w:t>
      </w:r>
      <w:r>
        <w:rPr>
          <w:rFonts w:hint="default" w:ascii="Times New Roman" w:hAnsi="Times New Roman" w:eastAsia="宋体" w:cs="Times New Roman"/>
          <w:i/>
          <w:sz w:val="21"/>
          <w:szCs w:val="21"/>
        </w:rPr>
        <w:t>q</w:t>
      </w:r>
      <w:r>
        <w:rPr>
          <w:rFonts w:hint="default" w:ascii="Times New Roman" w:hAnsi="Times New Roman" w:eastAsia="宋体" w:cs="Times New Roman"/>
          <w:sz w:val="21"/>
          <w:szCs w:val="21"/>
        </w:rPr>
        <w:t>=5，每个水平做3次PCR重复）的</w:t>
      </w:r>
      <w:r>
        <w:rPr>
          <w:rFonts w:hint="eastAsia" w:cs="Times New Roman"/>
          <w:sz w:val="21"/>
          <w:szCs w:val="21"/>
          <w:lang w:eastAsia="zh-CN"/>
        </w:rPr>
        <w:t>QY2569-42</w:t>
      </w:r>
      <w:r>
        <w:rPr>
          <w:rFonts w:hint="default" w:ascii="Times New Roman" w:hAnsi="Times New Roman" w:eastAsia="宋体" w:cs="Times New Roman"/>
          <w:sz w:val="21"/>
          <w:szCs w:val="21"/>
        </w:rPr>
        <w:t>转化体和</w:t>
      </w:r>
      <w:r>
        <w:rPr>
          <w:rFonts w:hint="default" w:ascii="Times New Roman" w:hAnsi="Times New Roman" w:eastAsia="宋体" w:cs="Times New Roman"/>
          <w:i/>
          <w:sz w:val="21"/>
          <w:szCs w:val="21"/>
        </w:rPr>
        <w:t>zSSIIb</w:t>
      </w:r>
      <w:r>
        <w:rPr>
          <w:rFonts w:hint="default" w:ascii="Times New Roman" w:hAnsi="Times New Roman" w:eastAsia="宋体" w:cs="Times New Roman"/>
          <w:sz w:val="21"/>
          <w:szCs w:val="21"/>
        </w:rPr>
        <w:t>基因检测数据，即y值（3次PCR重复</w:t>
      </w:r>
      <w:r>
        <w:rPr>
          <w:rFonts w:hint="default" w:ascii="Times New Roman" w:hAnsi="Times New Roman" w:eastAsia="宋体" w:cs="Times New Roman"/>
          <w:i/>
          <w:iCs/>
          <w:sz w:val="21"/>
          <w:szCs w:val="21"/>
        </w:rPr>
        <w:t>Ct</w:t>
      </w:r>
      <w:r>
        <w:rPr>
          <w:rFonts w:hint="default" w:ascii="Times New Roman" w:hAnsi="Times New Roman" w:eastAsia="宋体" w:cs="Times New Roman"/>
          <w:sz w:val="21"/>
          <w:szCs w:val="21"/>
        </w:rPr>
        <w:t>值的平均值）与x值（标称拷贝数对数）间的线性关系，绘制出实验室的内外源基因的标准曲线（</w:t>
      </w:r>
      <w:r>
        <w:rPr>
          <w:rFonts w:hint="default" w:ascii="Times New Roman" w:hAnsi="Times New Roman" w:eastAsia="宋体" w:cs="Times New Roman"/>
          <w:i/>
          <w:iCs/>
          <w:sz w:val="21"/>
          <w:szCs w:val="21"/>
        </w:rPr>
        <w:t>y</w:t>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bx</w:t>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a</w:t>
      </w:r>
      <w:r>
        <w:rPr>
          <w:rFonts w:hint="default" w:ascii="Times New Roman" w:hAnsi="Times New Roman" w:eastAsia="宋体" w:cs="Times New Roman"/>
          <w:sz w:val="21"/>
          <w:szCs w:val="21"/>
        </w:rPr>
        <w:t>），统计标准曲线的斜率</w:t>
      </w:r>
      <w:r>
        <w:rPr>
          <w:rFonts w:hint="default" w:ascii="Times New Roman" w:hAnsi="Times New Roman" w:eastAsia="宋体" w:cs="Times New Roman"/>
          <w:i/>
          <w:iCs/>
          <w:sz w:val="21"/>
          <w:szCs w:val="21"/>
        </w:rPr>
        <w:t>b</w:t>
      </w:r>
      <w:r>
        <w:rPr>
          <w:rFonts w:hint="default" w:ascii="Times New Roman" w:hAnsi="Times New Roman" w:eastAsia="宋体" w:cs="Times New Roman"/>
          <w:sz w:val="21"/>
          <w:szCs w:val="21"/>
        </w:rPr>
        <w:t>（</w:t>
      </w:r>
      <w:r>
        <w:rPr>
          <w:rFonts w:hint="default" w:ascii="Times New Roman" w:hAnsi="Times New Roman" w:eastAsia="宋体" w:cs="Times New Roman"/>
          <w:position w:val="-30"/>
          <w:sz w:val="21"/>
          <w:szCs w:val="21"/>
        </w:rPr>
        <w:object>
          <v:shape id="_x0000_i1025" o:spt="75" type="#_x0000_t75" style="height:37.8pt;width:38.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default" w:ascii="Times New Roman" w:hAnsi="Times New Roman" w:eastAsia="宋体" w:cs="Times New Roman"/>
          <w:sz w:val="21"/>
          <w:szCs w:val="21"/>
        </w:rPr>
        <w:t>，其中</w:t>
      </w:r>
      <w:r>
        <w:rPr>
          <w:rFonts w:hint="default" w:ascii="Times New Roman" w:hAnsi="Times New Roman" w:eastAsia="宋体" w:cs="Times New Roman"/>
          <w:i/>
          <w:sz w:val="21"/>
          <w:szCs w:val="21"/>
        </w:rPr>
        <w:t>SP</w:t>
      </w:r>
      <w:r>
        <w:rPr>
          <w:rFonts w:hint="default" w:ascii="Times New Roman" w:hAnsi="Times New Roman" w:eastAsia="宋体" w:cs="Times New Roman"/>
          <w:i/>
          <w:sz w:val="21"/>
          <w:szCs w:val="21"/>
          <w:vertAlign w:val="subscript"/>
        </w:rPr>
        <w:t>xy</w:t>
      </w:r>
      <w:r>
        <w:rPr>
          <w:rFonts w:hint="default" w:ascii="Times New Roman" w:hAnsi="Times New Roman" w:eastAsia="宋体" w:cs="Times New Roman"/>
          <w:sz w:val="21"/>
          <w:szCs w:val="21"/>
        </w:rPr>
        <w:t>为x变量与y变量之间的乘积和，</w:t>
      </w:r>
      <w:r>
        <w:rPr>
          <w:rFonts w:hint="default" w:ascii="Times New Roman" w:hAnsi="Times New Roman" w:eastAsia="宋体" w:cs="Times New Roman"/>
          <w:i/>
          <w:sz w:val="21"/>
          <w:szCs w:val="21"/>
        </w:rPr>
        <w:t>SS</w:t>
      </w:r>
      <w:r>
        <w:rPr>
          <w:rFonts w:hint="default" w:ascii="Times New Roman" w:hAnsi="Times New Roman" w:eastAsia="宋体" w:cs="Times New Roman"/>
          <w:i/>
          <w:sz w:val="21"/>
          <w:szCs w:val="21"/>
          <w:vertAlign w:val="subscript"/>
        </w:rPr>
        <w:t>x</w:t>
      </w:r>
      <w:r>
        <w:rPr>
          <w:rFonts w:hint="default" w:ascii="Times New Roman" w:hAnsi="Times New Roman" w:eastAsia="宋体" w:cs="Times New Roman"/>
          <w:sz w:val="21"/>
          <w:szCs w:val="21"/>
        </w:rPr>
        <w:t>为x变量的平方和）；决定系数</w:t>
      </w:r>
      <w:r>
        <w:rPr>
          <w:rFonts w:hint="default" w:ascii="Times New Roman" w:hAnsi="Times New Roman" w:eastAsia="宋体" w:cs="Times New Roman"/>
          <w:i/>
          <w:iCs/>
          <w:sz w:val="21"/>
          <w:szCs w:val="21"/>
        </w:rPr>
        <w:t>R</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r>
        <w:rPr>
          <w:rFonts w:hint="default" w:ascii="Times New Roman" w:hAnsi="Times New Roman" w:eastAsia="宋体" w:cs="Times New Roman"/>
          <w:position w:val="-32"/>
          <w:sz w:val="21"/>
          <w:szCs w:val="21"/>
        </w:rPr>
        <w:object>
          <v:shape id="_x0000_i1026" o:spt="75" type="#_x0000_t75" style="height:39.55pt;width:53.8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default" w:ascii="Times New Roman" w:hAnsi="Times New Roman" w:eastAsia="宋体" w:cs="Times New Roman"/>
          <w:sz w:val="21"/>
          <w:szCs w:val="21"/>
        </w:rPr>
        <w:t>，其中</w:t>
      </w:r>
      <w:r>
        <w:rPr>
          <w:rFonts w:hint="default" w:ascii="Times New Roman" w:hAnsi="Times New Roman" w:eastAsia="宋体" w:cs="Times New Roman"/>
          <w:i/>
          <w:sz w:val="21"/>
          <w:szCs w:val="21"/>
        </w:rPr>
        <w:t>SP</w:t>
      </w:r>
      <w:r>
        <w:rPr>
          <w:rFonts w:hint="default" w:ascii="Times New Roman" w:hAnsi="Times New Roman" w:eastAsia="宋体" w:cs="Times New Roman"/>
          <w:i/>
          <w:sz w:val="21"/>
          <w:szCs w:val="21"/>
          <w:vertAlign w:val="subscript"/>
        </w:rPr>
        <w:t>xy</w:t>
      </w:r>
      <w:r>
        <w:rPr>
          <w:rFonts w:hint="default" w:ascii="Times New Roman" w:hAnsi="Times New Roman" w:eastAsia="宋体" w:cs="Times New Roman"/>
          <w:sz w:val="21"/>
          <w:szCs w:val="21"/>
        </w:rPr>
        <w:t>为x变量与y变量之间的乘积和，</w:t>
      </w:r>
      <w:r>
        <w:rPr>
          <w:rFonts w:hint="default" w:ascii="Times New Roman" w:hAnsi="Times New Roman" w:eastAsia="宋体" w:cs="Times New Roman"/>
          <w:i/>
          <w:sz w:val="21"/>
          <w:szCs w:val="21"/>
        </w:rPr>
        <w:t>SS</w:t>
      </w:r>
      <w:r>
        <w:rPr>
          <w:rFonts w:hint="default" w:ascii="Times New Roman" w:hAnsi="Times New Roman" w:eastAsia="宋体" w:cs="Times New Roman"/>
          <w:i/>
          <w:sz w:val="21"/>
          <w:szCs w:val="21"/>
          <w:vertAlign w:val="subscript"/>
        </w:rPr>
        <w:t>x</w:t>
      </w:r>
      <w:r>
        <w:rPr>
          <w:rFonts w:hint="default" w:ascii="Times New Roman" w:hAnsi="Times New Roman" w:eastAsia="宋体" w:cs="Times New Roman"/>
          <w:sz w:val="21"/>
          <w:szCs w:val="21"/>
        </w:rPr>
        <w:t>为x变量的平方和，</w:t>
      </w:r>
      <w:r>
        <w:rPr>
          <w:rFonts w:hint="default" w:ascii="Times New Roman" w:hAnsi="Times New Roman" w:eastAsia="宋体" w:cs="Times New Roman"/>
          <w:i/>
          <w:sz w:val="21"/>
          <w:szCs w:val="21"/>
        </w:rPr>
        <w:t>SS</w:t>
      </w:r>
      <w:r>
        <w:rPr>
          <w:rFonts w:hint="default" w:ascii="Times New Roman" w:hAnsi="Times New Roman" w:eastAsia="宋体" w:cs="Times New Roman"/>
          <w:i/>
          <w:sz w:val="21"/>
          <w:szCs w:val="21"/>
          <w:vertAlign w:val="subscript"/>
        </w:rPr>
        <w:t>y</w:t>
      </w:r>
      <w:r>
        <w:rPr>
          <w:rFonts w:hint="default" w:ascii="Times New Roman" w:hAnsi="Times New Roman" w:eastAsia="宋体" w:cs="Times New Roman"/>
          <w:sz w:val="21"/>
          <w:szCs w:val="21"/>
        </w:rPr>
        <w:t>为y变量的平方和）；扩增效率</w:t>
      </w:r>
      <w:r>
        <w:rPr>
          <w:rFonts w:hint="default" w:ascii="Times New Roman" w:hAnsi="Times New Roman" w:eastAsia="宋体" w:cs="Times New Roman"/>
          <w:i/>
          <w:iCs/>
          <w:sz w:val="21"/>
          <w:szCs w:val="21"/>
        </w:rPr>
        <w:t>E</w:t>
      </w:r>
      <w:r>
        <w:rPr>
          <w:rFonts w:hint="default" w:ascii="Times New Roman" w:hAnsi="Times New Roman" w:eastAsia="宋体" w:cs="Times New Roman"/>
          <w:sz w:val="21"/>
          <w:szCs w:val="21"/>
        </w:rPr>
        <w:t xml:space="preserve"> (%) = [10 ^ (-1/</w:t>
      </w:r>
      <w:r>
        <w:rPr>
          <w:rFonts w:hint="default" w:ascii="Times New Roman" w:hAnsi="Times New Roman" w:eastAsia="宋体" w:cs="Times New Roman"/>
          <w:i/>
          <w:iCs/>
          <w:sz w:val="21"/>
          <w:szCs w:val="21"/>
        </w:rPr>
        <w:t>b</w:t>
      </w:r>
      <w:r>
        <w:rPr>
          <w:rFonts w:hint="default" w:ascii="Times New Roman" w:hAnsi="Times New Roman" w:eastAsia="宋体" w:cs="Times New Roman"/>
          <w:sz w:val="21"/>
          <w:szCs w:val="21"/>
        </w:rPr>
        <w:t>) – 1] × 100%；截距a。</w:t>
      </w:r>
      <w:r>
        <w:rPr>
          <w:rFonts w:hint="default" w:ascii="Times New Roman" w:hAnsi="Times New Roman" w:eastAsia="宋体" w:cs="Times New Roman"/>
          <w:iCs/>
          <w:sz w:val="21"/>
          <w:szCs w:val="21"/>
        </w:rPr>
        <w:t>具体计算公式如下：</w:t>
      </w:r>
    </w:p>
    <w:p w14:paraId="5C02E6D8">
      <w:pPr>
        <w:ind w:firstLine="199" w:firstLineChars="95"/>
        <w:jc w:val="center"/>
        <w:rPr>
          <w:rFonts w:eastAsia="仿宋"/>
        </w:rPr>
      </w:pPr>
      <w:r>
        <w:rPr>
          <w:rFonts w:eastAsia="仿宋"/>
          <w:position w:val="-98"/>
          <w:szCs w:val="21"/>
        </w:rPr>
        <w:object>
          <v:shape id="_x0000_i1027" o:spt="75" type="#_x0000_t75" style="height:85.05pt;width:239.35pt;" o:ole="t" filled="f" o:preferrelative="t" stroked="f" coordsize="21600,21600">
            <v:path/>
            <v:fill on="f" focussize="0,0"/>
            <v:stroke on="f"/>
            <v:imagedata r:id="rId23" o:title=""/>
            <o:lock v:ext="edit" aspectratio="t"/>
            <w10:wrap type="none"/>
            <w10:anchorlock/>
          </v:shape>
          <o:OLEObject Type="Embed" ProgID="Equation.3" ShapeID="_x0000_i1027" DrawAspect="Content" ObjectID="_1468075727" r:id="rId22">
            <o:LockedField>false</o:LockedField>
          </o:OLEObject>
        </w:object>
      </w:r>
      <w:r>
        <w:rPr>
          <w:rFonts w:eastAsia="仿宋"/>
          <w:position w:val="-98"/>
          <w:szCs w:val="21"/>
        </w:rPr>
        <w:t xml:space="preserve"> …………（1）</w:t>
      </w:r>
    </w:p>
    <w:p w14:paraId="01EAD555">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center"/>
        <w:textAlignment w:val="auto"/>
        <w:rPr>
          <w:rFonts w:hint="default" w:ascii="Times New Roman" w:hAnsi="Times New Roman" w:eastAsia="宋体" w:cs="Times New Roman"/>
          <w:position w:val="-140"/>
          <w:sz w:val="21"/>
          <w:szCs w:val="21"/>
        </w:rPr>
      </w:pPr>
      <w:r>
        <w:rPr>
          <w:rFonts w:hint="default" w:ascii="Times New Roman" w:hAnsi="Times New Roman" w:eastAsia="宋体" w:cs="Times New Roman"/>
          <w:position w:val="-134"/>
          <w:sz w:val="21"/>
          <w:szCs w:val="21"/>
        </w:rPr>
        <w:object>
          <v:shape id="_x0000_i1028" o:spt="75" type="#_x0000_t75" style="height:97.35pt;width:300.05pt;" o:ole="t" filled="f" o:preferrelative="t" stroked="f" coordsize="21600,21600">
            <v:path/>
            <v:fill on="f" focussize="0,0"/>
            <v:stroke on="f"/>
            <v:imagedata r:id="rId25" o:title=""/>
            <o:lock v:ext="edit" aspectratio="t"/>
            <w10:wrap type="none"/>
            <w10:anchorlock/>
          </v:shape>
          <o:OLEObject Type="Embed" ProgID="Equation.3" ShapeID="_x0000_i1028" DrawAspect="Content" ObjectID="_1468075728" r:id="rId24">
            <o:LockedField>false</o:LockedField>
          </o:OLEObject>
        </w:object>
      </w:r>
      <w:r>
        <w:rPr>
          <w:rFonts w:hint="default" w:ascii="Times New Roman" w:hAnsi="Times New Roman" w:eastAsia="宋体" w:cs="Times New Roman"/>
          <w:position w:val="-98"/>
          <w:sz w:val="21"/>
          <w:szCs w:val="21"/>
        </w:rPr>
        <w:t>……（2）</w:t>
      </w:r>
    </w:p>
    <w:p w14:paraId="0F7A4548">
      <w:pPr>
        <w:keepNext w:val="0"/>
        <w:keepLines w:val="0"/>
        <w:pageBreakBefore w:val="0"/>
        <w:widowControl w:val="0"/>
        <w:kinsoku/>
        <w:wordWrap/>
        <w:overflowPunct/>
        <w:topLinePunct w:val="0"/>
        <w:autoSpaceDE/>
        <w:autoSpaceDN/>
        <w:bidi w:val="0"/>
        <w:adjustRightInd/>
        <w:snapToGrid/>
        <w:spacing w:line="312" w:lineRule="auto"/>
        <w:ind w:firstLine="130" w:firstLineChars="6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iCs/>
          <w:sz w:val="21"/>
          <w:szCs w:val="21"/>
        </w:rPr>
        <w:t xml:space="preserve">                 a </w:t>
      </w:r>
      <w:r>
        <w:rPr>
          <w:rFonts w:hint="default" w:ascii="Times New Roman" w:hAnsi="Times New Roman" w:eastAsia="宋体" w:cs="Times New Roman"/>
          <w:sz w:val="21"/>
          <w:szCs w:val="21"/>
        </w:rPr>
        <w:t>=</w:t>
      </w:r>
      <w:r>
        <w:rPr>
          <w:rFonts w:hint="default" w:ascii="Times New Roman" w:hAnsi="Times New Roman" w:eastAsia="宋体" w:cs="Times New Roman"/>
          <w:position w:val="-8"/>
          <w:sz w:val="21"/>
          <w:szCs w:val="21"/>
        </w:rPr>
        <w:object>
          <v:shape id="_x0000_i1029" o:spt="75" type="#_x0000_t75" style="height:14.25pt;width:11.7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b</w:t>
      </w:r>
      <w:r>
        <w:rPr>
          <w:rFonts w:hint="default" w:ascii="Times New Roman" w:hAnsi="Times New Roman" w:eastAsia="宋体" w:cs="Times New Roman"/>
          <w:position w:val="-4"/>
          <w:sz w:val="21"/>
          <w:szCs w:val="21"/>
        </w:rPr>
        <w:object>
          <v:shape id="_x0000_i1030" o:spt="75" type="#_x0000_t75" style="height:11.75pt;width:11.7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default" w:ascii="Times New Roman" w:hAnsi="Times New Roman" w:eastAsia="宋体" w:cs="Times New Roman"/>
          <w:sz w:val="21"/>
          <w:szCs w:val="21"/>
        </w:rPr>
        <w:t>…………………………………………（3）</w:t>
      </w:r>
    </w:p>
    <w:p w14:paraId="34F22E17">
      <w:pPr>
        <w:keepNext w:val="0"/>
        <w:keepLines w:val="0"/>
        <w:pageBreakBefore w:val="0"/>
        <w:widowControl w:val="0"/>
        <w:tabs>
          <w:tab w:val="center" w:pos="466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w:t>
      </w:r>
      <w:r>
        <w:rPr>
          <w:rFonts w:hint="default" w:ascii="Times New Roman" w:hAnsi="Times New Roman" w:eastAsia="宋体" w:cs="Times New Roman"/>
          <w:sz w:val="21"/>
          <w:szCs w:val="21"/>
        </w:rPr>
        <w:tab/>
      </w:r>
    </w:p>
    <w:p w14:paraId="76136DC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position w:val="-14"/>
          <w:sz w:val="21"/>
          <w:szCs w:val="21"/>
        </w:rPr>
        <w:object>
          <v:shape id="_x0000_i1031" o:spt="75" type="#_x0000_t75" style="height:18.9pt;width:13.9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t>—第</w:t>
      </w:r>
      <w:r>
        <w:rPr>
          <w:rFonts w:hint="default" w:ascii="Times New Roman" w:hAnsi="Times New Roman" w:eastAsia="宋体" w:cs="Times New Roman"/>
          <w:i/>
          <w:sz w:val="21"/>
          <w:szCs w:val="21"/>
        </w:rPr>
        <w:t>j</w:t>
      </w:r>
      <w:r>
        <w:rPr>
          <w:rFonts w:hint="default" w:ascii="Times New Roman" w:hAnsi="Times New Roman" w:eastAsia="宋体" w:cs="Times New Roman"/>
          <w:sz w:val="21"/>
          <w:szCs w:val="21"/>
        </w:rPr>
        <w:t>个水平的校准样品标称拷贝数对数值</w:t>
      </w:r>
      <w:r>
        <w:rPr>
          <w:rFonts w:hint="eastAsia" w:ascii="Times New Roman" w:hAnsi="Times New Roman" w:cs="Times New Roman"/>
          <w:sz w:val="21"/>
          <w:szCs w:val="21"/>
          <w:lang w:eastAsia="zh-CN"/>
        </w:rPr>
        <w:t>；</w:t>
      </w:r>
    </w:p>
    <w:p w14:paraId="6EEF017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position w:val="-14"/>
          <w:sz w:val="21"/>
          <w:szCs w:val="21"/>
        </w:rPr>
        <w:object>
          <v:shape id="_x0000_i1032" o:spt="75" type="#_x0000_t75" style="height:18.9pt;width:13.9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2" r:id="rId32">
            <o:LockedField>false</o:LockedField>
          </o:OLEObject>
        </w:object>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t>—第</w:t>
      </w:r>
      <w:r>
        <w:rPr>
          <w:rFonts w:hint="default" w:ascii="Times New Roman" w:hAnsi="Times New Roman" w:eastAsia="宋体" w:cs="Times New Roman"/>
          <w:i/>
          <w:sz w:val="21"/>
          <w:szCs w:val="21"/>
        </w:rPr>
        <w:t>j</w:t>
      </w:r>
      <w:r>
        <w:rPr>
          <w:rFonts w:hint="default" w:ascii="Times New Roman" w:hAnsi="Times New Roman" w:eastAsia="宋体" w:cs="Times New Roman"/>
          <w:sz w:val="21"/>
          <w:szCs w:val="21"/>
        </w:rPr>
        <w:t>个水平的校准样品3次重复PCR测定</w:t>
      </w:r>
      <w:r>
        <w:rPr>
          <w:rFonts w:hint="default" w:ascii="Times New Roman" w:hAnsi="Times New Roman" w:eastAsia="宋体" w:cs="Times New Roman"/>
          <w:i/>
          <w:iCs/>
          <w:sz w:val="21"/>
          <w:szCs w:val="21"/>
        </w:rPr>
        <w:t>Ct</w:t>
      </w:r>
      <w:r>
        <w:rPr>
          <w:rFonts w:hint="default" w:ascii="Times New Roman" w:hAnsi="Times New Roman" w:eastAsia="宋体" w:cs="Times New Roman"/>
          <w:sz w:val="21"/>
          <w:szCs w:val="21"/>
        </w:rPr>
        <w:t>值的平均值</w:t>
      </w:r>
      <w:r>
        <w:rPr>
          <w:rFonts w:hint="eastAsia" w:ascii="Times New Roman" w:hAnsi="Times New Roman" w:cs="Times New Roman"/>
          <w:sz w:val="21"/>
          <w:szCs w:val="21"/>
          <w:lang w:eastAsia="zh-CN"/>
        </w:rPr>
        <w:t>；</w:t>
      </w:r>
    </w:p>
    <w:p w14:paraId="2C8D0EF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position w:val="-6"/>
          <w:sz w:val="21"/>
          <w:szCs w:val="21"/>
        </w:rPr>
        <w:object>
          <v:shape id="_x0000_i1033" o:spt="75" type="#_x0000_t75" style="height:13.2pt;width:11.05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3" r:id="rId34">
            <o:LockedField>false</o:LockedField>
          </o:OLEObject>
        </w:object>
      </w:r>
      <w:r>
        <w:rPr>
          <w:rFonts w:hint="eastAsia" w:ascii="Times New Roman" w:hAnsi="Times New Roman" w:cs="Times New Roman"/>
          <w:position w:val="-6"/>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q</w:t>
      </w:r>
      <w:r>
        <w:rPr>
          <w:rFonts w:hint="default" w:ascii="Times New Roman" w:hAnsi="Times New Roman" w:eastAsia="宋体" w:cs="Times New Roman"/>
          <w:sz w:val="21"/>
          <w:szCs w:val="21"/>
        </w:rPr>
        <w:t>个水平校准样品标称拷贝数对数值的平均值</w:t>
      </w:r>
      <w:r>
        <w:rPr>
          <w:rFonts w:hint="eastAsia" w:ascii="Times New Roman" w:hAnsi="Times New Roman" w:cs="Times New Roman"/>
          <w:sz w:val="21"/>
          <w:szCs w:val="21"/>
          <w:lang w:eastAsia="zh-CN"/>
        </w:rPr>
        <w:t>；</w:t>
      </w:r>
    </w:p>
    <w:p w14:paraId="0BA0A2F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position w:val="-10"/>
          <w:sz w:val="21"/>
          <w:szCs w:val="21"/>
        </w:rPr>
        <w:object>
          <v:shape id="_x0000_i1034" o:spt="75" type="#_x0000_t75" style="height:15.7pt;width:11.05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4" r:id="rId36">
            <o:LockedField>false</o:LockedField>
          </o:OLEObject>
        </w:object>
      </w:r>
      <w:r>
        <w:rPr>
          <w:rFonts w:hint="eastAsia" w:ascii="Times New Roman" w:hAnsi="Times New Roman" w:cs="Times New Roman"/>
          <w:position w:val="-10"/>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q</w:t>
      </w:r>
      <w:r>
        <w:rPr>
          <w:rFonts w:hint="default" w:ascii="Times New Roman" w:hAnsi="Times New Roman" w:eastAsia="宋体" w:cs="Times New Roman"/>
          <w:sz w:val="21"/>
          <w:szCs w:val="21"/>
        </w:rPr>
        <w:t>个水平校准样品所有测定</w:t>
      </w:r>
      <w:r>
        <w:rPr>
          <w:rFonts w:hint="default" w:ascii="Times New Roman" w:hAnsi="Times New Roman" w:eastAsia="宋体" w:cs="Times New Roman"/>
          <w:i/>
          <w:iCs/>
          <w:sz w:val="21"/>
          <w:szCs w:val="21"/>
        </w:rPr>
        <w:t>Ct</w:t>
      </w:r>
      <w:r>
        <w:rPr>
          <w:rFonts w:hint="default" w:ascii="Times New Roman" w:hAnsi="Times New Roman" w:eastAsia="宋体" w:cs="Times New Roman"/>
          <w:sz w:val="21"/>
          <w:szCs w:val="21"/>
        </w:rPr>
        <w:t>值的平均值</w:t>
      </w:r>
      <w:r>
        <w:rPr>
          <w:rFonts w:hint="eastAsia" w:ascii="Times New Roman" w:hAnsi="Times New Roman" w:cs="Times New Roman"/>
          <w:sz w:val="21"/>
          <w:szCs w:val="21"/>
          <w:lang w:eastAsia="zh-CN"/>
        </w:rPr>
        <w:t>；</w:t>
      </w:r>
    </w:p>
    <w:p w14:paraId="27E91D7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i/>
          <w:sz w:val="21"/>
          <w:szCs w:val="21"/>
        </w:rPr>
        <w:t>q</w:t>
      </w:r>
      <w:r>
        <w:rPr>
          <w:rFonts w:hint="eastAsia" w:ascii="Times New Roman" w:hAnsi="Times New Roman" w:cs="Times New Roman"/>
          <w:i/>
          <w:sz w:val="21"/>
          <w:szCs w:val="21"/>
          <w:lang w:val="en-US" w:eastAsia="zh-CN"/>
        </w:rPr>
        <w:t xml:space="preserve">  </w:t>
      </w:r>
      <w:r>
        <w:rPr>
          <w:rFonts w:hint="default" w:ascii="Times New Roman" w:hAnsi="Times New Roman" w:eastAsia="宋体" w:cs="Times New Roman"/>
          <w:sz w:val="21"/>
          <w:szCs w:val="21"/>
        </w:rPr>
        <w:t>—校准样品水平个数，一般</w:t>
      </w:r>
      <w:r>
        <w:rPr>
          <w:rFonts w:hint="default" w:ascii="Times New Roman" w:hAnsi="Times New Roman" w:eastAsia="宋体" w:cs="Times New Roman"/>
          <w:i/>
          <w:sz w:val="21"/>
          <w:szCs w:val="21"/>
        </w:rPr>
        <w:t>q</w:t>
      </w:r>
      <w:r>
        <w:rPr>
          <w:rFonts w:hint="default" w:ascii="Times New Roman" w:hAnsi="Times New Roman" w:eastAsia="宋体" w:cs="Times New Roman"/>
          <w:sz w:val="21"/>
          <w:szCs w:val="21"/>
        </w:rPr>
        <w:t>=5。</w:t>
      </w:r>
    </w:p>
    <w:p w14:paraId="1E48CA21">
      <w:pPr>
        <w:pStyle w:val="4"/>
        <w:bidi w:val="0"/>
        <w:spacing w:before="50" w:beforeLines="50" w:after="50" w:afterLines="50" w:line="240" w:lineRule="auto"/>
        <w:ind w:firstLine="420" w:firstLineChars="200"/>
        <w:rPr>
          <w:rFonts w:hint="default" w:ascii="Times New Roman" w:hAnsi="Times New Roman" w:eastAsia="黑体" w:cs="Calibri"/>
          <w:b w:val="0"/>
          <w:bCs/>
          <w:kern w:val="2"/>
          <w:sz w:val="21"/>
          <w:szCs w:val="32"/>
          <w:lang w:val="en-US" w:eastAsia="zh-CN" w:bidi="ar-SA"/>
        </w:rPr>
      </w:pPr>
      <w:r>
        <w:rPr>
          <w:rFonts w:hint="default" w:ascii="Times New Roman" w:hAnsi="Times New Roman" w:eastAsia="黑体" w:cs="Calibri"/>
          <w:b w:val="0"/>
          <w:bCs/>
          <w:kern w:val="2"/>
          <w:sz w:val="21"/>
          <w:szCs w:val="32"/>
          <w:lang w:val="en-US" w:eastAsia="zh-CN" w:bidi="ar-SA"/>
        </w:rPr>
        <w:t>5.2.3 标准曲线各参数</w:t>
      </w:r>
      <w:r>
        <w:rPr>
          <w:rFonts w:hint="eastAsia" w:ascii="Times New Roman" w:hAnsi="Times New Roman" w:eastAsia="黑体" w:cs="Calibri"/>
          <w:b w:val="0"/>
          <w:bCs/>
          <w:kern w:val="2"/>
          <w:sz w:val="21"/>
          <w:szCs w:val="32"/>
          <w:lang w:val="en-US" w:eastAsia="zh-CN" w:bidi="ar-SA"/>
        </w:rPr>
        <w:t>的测试结果和合格判定</w:t>
      </w:r>
    </w:p>
    <w:p w14:paraId="70A66F51">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根据标准样品PCR反应的</w:t>
      </w:r>
      <w:r>
        <w:rPr>
          <w:rFonts w:hint="default" w:ascii="Times New Roman" w:hAnsi="Times New Roman" w:eastAsia="宋体" w:cs="Times New Roman"/>
          <w:i/>
          <w:iCs/>
          <w:sz w:val="21"/>
          <w:szCs w:val="21"/>
        </w:rPr>
        <w:t>Ct</w:t>
      </w:r>
      <w:r>
        <w:rPr>
          <w:rFonts w:hint="default" w:ascii="Times New Roman" w:hAnsi="Times New Roman" w:eastAsia="宋体" w:cs="Times New Roman"/>
          <w:sz w:val="21"/>
          <w:szCs w:val="21"/>
        </w:rPr>
        <w:t>值及初始模板拷贝数的对数分别绘制抗虫耐除草剂玉米</w:t>
      </w:r>
      <w:r>
        <w:rPr>
          <w:rFonts w:hint="eastAsia" w:cs="Times New Roman"/>
          <w:sz w:val="21"/>
          <w:szCs w:val="21"/>
          <w:lang w:eastAsia="zh-CN"/>
        </w:rPr>
        <w:t>QY2569-42</w:t>
      </w:r>
      <w:r>
        <w:rPr>
          <w:rFonts w:hint="default" w:ascii="Times New Roman" w:hAnsi="Times New Roman" w:eastAsia="宋体" w:cs="Times New Roman"/>
          <w:sz w:val="21"/>
          <w:szCs w:val="21"/>
        </w:rPr>
        <w:t>和玉米内标准基因</w:t>
      </w:r>
      <w:r>
        <w:rPr>
          <w:rFonts w:hint="default" w:ascii="Times New Roman" w:hAnsi="Times New Roman" w:eastAsia="宋体" w:cs="Times New Roman"/>
          <w:i/>
          <w:iCs/>
          <w:sz w:val="21"/>
          <w:szCs w:val="21"/>
        </w:rPr>
        <w:t>zSSIIb</w:t>
      </w:r>
      <w:r>
        <w:rPr>
          <w:rFonts w:hint="default" w:ascii="Times New Roman" w:hAnsi="Times New Roman" w:eastAsia="宋体" w:cs="Times New Roman"/>
          <w:sz w:val="21"/>
          <w:szCs w:val="21"/>
        </w:rPr>
        <w:t>的标准曲线，本文绘制了3组标准曲线，详见图</w:t>
      </w:r>
      <w:r>
        <w:rPr>
          <w:rFonts w:hint="eastAsia" w:cs="Times New Roman"/>
          <w:sz w:val="21"/>
          <w:szCs w:val="21"/>
          <w:lang w:val="en-US" w:eastAsia="zh-CN"/>
        </w:rPr>
        <w:t>2-11</w:t>
      </w:r>
      <w:r>
        <w:rPr>
          <w:rFonts w:hint="default" w:ascii="Times New Roman" w:hAnsi="Times New Roman" w:eastAsia="宋体" w:cs="Times New Roman"/>
          <w:sz w:val="21"/>
          <w:szCs w:val="21"/>
        </w:rPr>
        <w:t>。计算标准曲线的斜率、决定系数和PCR扩增效率，结果详见表</w:t>
      </w:r>
      <w:r>
        <w:rPr>
          <w:rFonts w:hint="eastAsia" w:cs="Times New Roman"/>
          <w:sz w:val="21"/>
          <w:szCs w:val="21"/>
          <w:lang w:val="en-US" w:eastAsia="zh-CN"/>
        </w:rPr>
        <w:t>2-12</w:t>
      </w:r>
      <w:r>
        <w:rPr>
          <w:rFonts w:hint="default" w:ascii="Times New Roman" w:hAnsi="Times New Roman" w:eastAsia="宋体" w:cs="Times New Roman"/>
          <w:sz w:val="21"/>
          <w:szCs w:val="21"/>
        </w:rPr>
        <w:t>。表中结果显示，3组玉米内标准基因</w:t>
      </w:r>
      <w:r>
        <w:rPr>
          <w:rFonts w:hint="default" w:ascii="Times New Roman" w:hAnsi="Times New Roman" w:eastAsia="宋体" w:cs="Times New Roman"/>
          <w:i/>
          <w:sz w:val="21"/>
          <w:szCs w:val="21"/>
        </w:rPr>
        <w:t>zSSIIb</w:t>
      </w:r>
      <w:r>
        <w:rPr>
          <w:rFonts w:hint="default" w:ascii="Times New Roman" w:hAnsi="Times New Roman" w:eastAsia="宋体" w:cs="Times New Roman"/>
          <w:i w:val="0"/>
          <w:iCs/>
          <w:sz w:val="21"/>
          <w:szCs w:val="21"/>
          <w:lang w:eastAsia="zh-CN"/>
        </w:rPr>
        <w:t>和</w:t>
      </w:r>
      <w:r>
        <w:rPr>
          <w:rFonts w:hint="default" w:ascii="Times New Roman" w:hAnsi="Times New Roman" w:eastAsia="宋体" w:cs="Times New Roman"/>
          <w:sz w:val="21"/>
          <w:szCs w:val="21"/>
        </w:rPr>
        <w:t>抗虫耐除草剂玉米</w:t>
      </w:r>
      <w:r>
        <w:rPr>
          <w:rFonts w:hint="eastAsia" w:cs="Times New Roman"/>
          <w:sz w:val="21"/>
          <w:szCs w:val="21"/>
          <w:lang w:eastAsia="zh-CN"/>
        </w:rPr>
        <w:t>QY2569-42</w:t>
      </w:r>
      <w:r>
        <w:rPr>
          <w:rFonts w:hint="default" w:ascii="Times New Roman" w:hAnsi="Times New Roman" w:eastAsia="宋体" w:cs="Times New Roman"/>
          <w:sz w:val="21"/>
          <w:szCs w:val="21"/>
        </w:rPr>
        <w:t>转化体的标准曲线斜率b分别在</w:t>
      </w:r>
      <w:r>
        <w:rPr>
          <w:rFonts w:hint="default" w:ascii="Times New Roman" w:hAnsi="Times New Roman" w:eastAsia="宋体" w:cs="Times New Roman"/>
          <w:color w:val="auto"/>
          <w:sz w:val="21"/>
          <w:szCs w:val="21"/>
          <w:highlight w:val="none"/>
          <w:lang w:val="en-US" w:eastAsia="zh-CN" w:bidi="ar"/>
        </w:rPr>
        <w:t>-3.</w:t>
      </w:r>
      <w:r>
        <w:rPr>
          <w:rFonts w:hint="eastAsia" w:ascii="Times New Roman" w:hAnsi="Times New Roman" w:eastAsia="宋体" w:cs="Times New Roman"/>
          <w:color w:val="auto"/>
          <w:sz w:val="21"/>
          <w:szCs w:val="21"/>
          <w:highlight w:val="none"/>
          <w:lang w:val="en-US" w:eastAsia="zh-CN" w:bidi="ar"/>
        </w:rPr>
        <w:t>504</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-3.</w:t>
      </w:r>
      <w:r>
        <w:rPr>
          <w:rFonts w:hint="eastAsia" w:ascii="Times New Roman" w:hAnsi="Times New Roman" w:eastAsia="宋体" w:cs="Times New Roman"/>
          <w:color w:val="auto"/>
          <w:sz w:val="21"/>
          <w:szCs w:val="21"/>
          <w:highlight w:val="none"/>
          <w:lang w:val="en-US" w:eastAsia="zh-CN" w:bidi="ar"/>
        </w:rPr>
        <w:t>440</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-3.</w:t>
      </w:r>
      <w:r>
        <w:rPr>
          <w:rFonts w:hint="eastAsia" w:ascii="Times New Roman" w:hAnsi="Times New Roman" w:eastAsia="宋体" w:cs="Times New Roman"/>
          <w:color w:val="auto"/>
          <w:sz w:val="21"/>
          <w:szCs w:val="21"/>
          <w:highlight w:val="none"/>
          <w:lang w:val="en-US" w:eastAsia="zh-CN" w:bidi="ar"/>
        </w:rPr>
        <w:t>329</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-3.</w:t>
      </w:r>
      <w:r>
        <w:rPr>
          <w:rFonts w:hint="eastAsia" w:ascii="Times New Roman" w:hAnsi="Times New Roman" w:eastAsia="宋体" w:cs="Times New Roman"/>
          <w:color w:val="auto"/>
          <w:sz w:val="21"/>
          <w:szCs w:val="21"/>
          <w:highlight w:val="none"/>
          <w:lang w:val="en-US" w:eastAsia="zh-CN" w:bidi="ar"/>
        </w:rPr>
        <w:t>261</w:t>
      </w:r>
      <w:r>
        <w:rPr>
          <w:rFonts w:hint="default" w:ascii="Times New Roman" w:hAnsi="Times New Roman" w:eastAsia="宋体" w:cs="Times New Roman"/>
          <w:sz w:val="21"/>
          <w:szCs w:val="21"/>
        </w:rPr>
        <w:t>之间，平均值分别为</w:t>
      </w:r>
      <w:r>
        <w:rPr>
          <w:rFonts w:hint="default" w:ascii="Times New Roman" w:hAnsi="Times New Roman" w:eastAsia="宋体" w:cs="Times New Roman"/>
          <w:color w:val="auto"/>
          <w:sz w:val="21"/>
          <w:szCs w:val="21"/>
          <w:highlight w:val="none"/>
          <w:lang w:val="en-US" w:eastAsia="zh-CN" w:bidi="ar"/>
        </w:rPr>
        <w:t>-3.</w:t>
      </w:r>
      <w:r>
        <w:rPr>
          <w:rFonts w:hint="eastAsia" w:ascii="Times New Roman" w:hAnsi="Times New Roman" w:eastAsia="宋体" w:cs="Times New Roman"/>
          <w:color w:val="auto"/>
          <w:sz w:val="21"/>
          <w:szCs w:val="21"/>
          <w:highlight w:val="none"/>
          <w:lang w:val="en-US" w:eastAsia="zh-CN" w:bidi="ar"/>
        </w:rPr>
        <w:t>479</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-3.</w:t>
      </w:r>
      <w:r>
        <w:rPr>
          <w:rFonts w:hint="eastAsia" w:ascii="Times New Roman" w:hAnsi="Times New Roman" w:eastAsia="宋体" w:cs="Times New Roman"/>
          <w:color w:val="auto"/>
          <w:sz w:val="21"/>
          <w:szCs w:val="21"/>
          <w:highlight w:val="none"/>
          <w:lang w:val="en-US" w:eastAsia="zh-CN" w:bidi="ar"/>
        </w:rPr>
        <w:t>293</w:t>
      </w:r>
      <w:r>
        <w:rPr>
          <w:rFonts w:hint="default" w:ascii="Times New Roman" w:hAnsi="Times New Roman" w:eastAsia="宋体" w:cs="Times New Roman"/>
          <w:sz w:val="21"/>
          <w:szCs w:val="21"/>
        </w:rPr>
        <w:t>，均位于-3.6～-3.1的允许区间内；决定系数</w:t>
      </w:r>
      <w:r>
        <w:rPr>
          <w:rFonts w:hint="default" w:ascii="Times New Roman" w:hAnsi="Times New Roman" w:eastAsia="宋体" w:cs="Times New Roman"/>
          <w:i/>
          <w:iCs/>
          <w:sz w:val="21"/>
          <w:szCs w:val="21"/>
        </w:rPr>
        <w:t>R</w:t>
      </w:r>
      <w:r>
        <w:rPr>
          <w:rFonts w:hint="default" w:ascii="Times New Roman" w:hAnsi="Times New Roman" w:eastAsia="宋体" w:cs="Times New Roman"/>
          <w:i/>
          <w:iCs/>
          <w:sz w:val="21"/>
          <w:szCs w:val="21"/>
          <w:vertAlign w:val="superscript"/>
        </w:rPr>
        <w:t>2</w:t>
      </w:r>
      <w:r>
        <w:rPr>
          <w:rFonts w:hint="default" w:ascii="Times New Roman" w:hAnsi="Times New Roman" w:eastAsia="宋体" w:cs="Times New Roman"/>
          <w:sz w:val="21"/>
          <w:szCs w:val="21"/>
        </w:rPr>
        <w:t>分别为</w:t>
      </w:r>
      <w:r>
        <w:rPr>
          <w:rFonts w:hint="default" w:ascii="Times New Roman" w:hAnsi="Times New Roman" w:eastAsia="宋体" w:cs="Times New Roman"/>
          <w:color w:val="auto"/>
          <w:sz w:val="21"/>
          <w:szCs w:val="21"/>
          <w:highlight w:val="none"/>
          <w:lang w:bidi="ar"/>
        </w:rPr>
        <w:t>0.99</w:t>
      </w:r>
      <w:r>
        <w:rPr>
          <w:rFonts w:hint="eastAsia" w:ascii="Times New Roman" w:hAnsi="Times New Roman" w:eastAsia="宋体" w:cs="Times New Roman"/>
          <w:color w:val="auto"/>
          <w:sz w:val="21"/>
          <w:szCs w:val="21"/>
          <w:highlight w:val="none"/>
          <w:lang w:val="en-US" w:eastAsia="zh-CN" w:bidi="ar"/>
        </w:rPr>
        <w:t>7</w:t>
      </w:r>
      <w:r>
        <w:rPr>
          <w:rFonts w:hint="default"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0.998</w:t>
      </w:r>
      <w:r>
        <w:rPr>
          <w:rFonts w:hint="default" w:ascii="Times New Roman" w:hAnsi="Times New Roman" w:eastAsia="宋体" w:cs="Times New Roman"/>
          <w:color w:val="auto"/>
          <w:sz w:val="21"/>
          <w:szCs w:val="21"/>
          <w:highlight w:val="none"/>
          <w:lang w:bidi="ar"/>
        </w:rPr>
        <w:t>、0.998~</w:t>
      </w:r>
      <w:r>
        <w:rPr>
          <w:rFonts w:hint="eastAsia" w:ascii="Times New Roman" w:hAnsi="Times New Roman" w:eastAsia="宋体" w:cs="Times New Roman"/>
          <w:color w:val="auto"/>
          <w:sz w:val="21"/>
          <w:szCs w:val="21"/>
          <w:highlight w:val="none"/>
          <w:lang w:val="en-US" w:eastAsia="zh-CN" w:bidi="ar"/>
        </w:rPr>
        <w:t>0.999</w:t>
      </w:r>
      <w:r>
        <w:rPr>
          <w:rFonts w:hint="default" w:ascii="Times New Roman" w:hAnsi="Times New Roman" w:eastAsia="宋体" w:cs="Times New Roman"/>
          <w:sz w:val="21"/>
          <w:szCs w:val="21"/>
        </w:rPr>
        <w:t>，平均值分别为</w:t>
      </w:r>
      <w:r>
        <w:rPr>
          <w:rFonts w:hint="default" w:ascii="Times New Roman" w:hAnsi="Times New Roman" w:eastAsia="宋体" w:cs="Times New Roman"/>
          <w:color w:val="auto"/>
          <w:sz w:val="21"/>
          <w:szCs w:val="21"/>
          <w:highlight w:val="none"/>
          <w:lang w:bidi="ar"/>
        </w:rPr>
        <w:t>0.99</w:t>
      </w:r>
      <w:r>
        <w:rPr>
          <w:rFonts w:hint="eastAsia" w:ascii="Times New Roman" w:hAnsi="Times New Roman" w:eastAsia="宋体" w:cs="Times New Roman"/>
          <w:color w:val="auto"/>
          <w:sz w:val="21"/>
          <w:szCs w:val="21"/>
          <w:highlight w:val="none"/>
          <w:lang w:val="en-US" w:eastAsia="zh-CN" w:bidi="ar"/>
        </w:rPr>
        <w:t>8</w:t>
      </w:r>
      <w:r>
        <w:rPr>
          <w:rFonts w:hint="default" w:ascii="Times New Roman" w:hAnsi="Times New Roman" w:eastAsia="宋体" w:cs="Times New Roman"/>
          <w:color w:val="auto"/>
          <w:sz w:val="21"/>
          <w:szCs w:val="21"/>
          <w:highlight w:val="none"/>
          <w:lang w:bidi="ar"/>
        </w:rPr>
        <w:t>、0.99</w:t>
      </w:r>
      <w:r>
        <w:rPr>
          <w:rFonts w:hint="eastAsia" w:ascii="Times New Roman" w:hAnsi="Times New Roman" w:eastAsia="宋体" w:cs="Times New Roman"/>
          <w:color w:val="auto"/>
          <w:sz w:val="21"/>
          <w:szCs w:val="21"/>
          <w:highlight w:val="none"/>
          <w:lang w:val="en-US" w:eastAsia="zh-CN" w:bidi="ar"/>
        </w:rPr>
        <w:t>8</w:t>
      </w:r>
      <w:r>
        <w:rPr>
          <w:rFonts w:hint="default" w:ascii="Times New Roman" w:hAnsi="Times New Roman" w:eastAsia="宋体" w:cs="Times New Roman"/>
          <w:sz w:val="21"/>
          <w:szCs w:val="21"/>
        </w:rPr>
        <w:t>，大于可接受的最低值0.98；PCR扩增效率E分别在</w:t>
      </w:r>
      <w:r>
        <w:rPr>
          <w:rFonts w:hint="default" w:ascii="Times New Roman" w:hAnsi="Times New Roman" w:eastAsia="宋体" w:cs="Times New Roman"/>
          <w:color w:val="auto"/>
          <w:sz w:val="21"/>
          <w:szCs w:val="21"/>
          <w:highlight w:val="none"/>
          <w:lang w:val="en-US" w:eastAsia="zh-CN" w:bidi="ar"/>
        </w:rPr>
        <w:t>9</w:t>
      </w:r>
      <w:r>
        <w:rPr>
          <w:rFonts w:hint="eastAsia" w:ascii="Times New Roman" w:hAnsi="Times New Roman" w:eastAsia="宋体" w:cs="Times New Roman"/>
          <w:color w:val="auto"/>
          <w:sz w:val="21"/>
          <w:szCs w:val="21"/>
          <w:highlight w:val="none"/>
          <w:lang w:val="en-US" w:eastAsia="zh-CN" w:bidi="ar"/>
        </w:rPr>
        <w:t>2.918</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9</w:t>
      </w:r>
      <w:r>
        <w:rPr>
          <w:rFonts w:hint="eastAsia" w:ascii="Times New Roman" w:hAnsi="Times New Roman" w:eastAsia="宋体" w:cs="Times New Roman"/>
          <w:color w:val="auto"/>
          <w:sz w:val="21"/>
          <w:szCs w:val="21"/>
          <w:highlight w:val="none"/>
          <w:lang w:val="en-US" w:eastAsia="zh-CN" w:bidi="ar"/>
        </w:rPr>
        <w:t>5.317</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9</w:t>
      </w:r>
      <w:r>
        <w:rPr>
          <w:rFonts w:hint="eastAsia" w:ascii="Times New Roman" w:hAnsi="Times New Roman" w:eastAsia="宋体" w:cs="Times New Roman"/>
          <w:color w:val="auto"/>
          <w:sz w:val="21"/>
          <w:szCs w:val="21"/>
          <w:highlight w:val="none"/>
          <w:lang w:val="en-US" w:eastAsia="zh-CN" w:bidi="ar"/>
        </w:rPr>
        <w:t>9.697</w:t>
      </w:r>
      <w:r>
        <w:rPr>
          <w:rFonts w:hint="default"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102.625</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sz w:val="21"/>
          <w:szCs w:val="21"/>
        </w:rPr>
        <w:t>之间，平均值分别为</w:t>
      </w:r>
      <w:r>
        <w:rPr>
          <w:rFonts w:hint="default" w:ascii="Times New Roman" w:hAnsi="Times New Roman" w:eastAsia="宋体" w:cs="Times New Roman"/>
          <w:color w:val="auto"/>
          <w:sz w:val="21"/>
          <w:szCs w:val="21"/>
          <w:highlight w:val="none"/>
          <w:lang w:val="en-US" w:eastAsia="zh-CN" w:bidi="ar"/>
        </w:rPr>
        <w:t>93.852%、101.241%</w:t>
      </w:r>
      <w:r>
        <w:rPr>
          <w:rFonts w:hint="default" w:ascii="Times New Roman" w:hAnsi="Times New Roman" w:eastAsia="宋体" w:cs="Times New Roman"/>
          <w:sz w:val="21"/>
          <w:szCs w:val="21"/>
        </w:rPr>
        <w:t>，位于90%～110%的允许区间内。标准曲线的所有指标全部满足了标准制定的要求范围，</w:t>
      </w:r>
      <w:r>
        <w:rPr>
          <w:rFonts w:hint="eastAsia" w:cs="Times New Roman"/>
          <w:sz w:val="21"/>
          <w:szCs w:val="21"/>
          <w:lang w:eastAsia="zh-CN"/>
        </w:rPr>
        <w:t>QY2569-42</w:t>
      </w:r>
      <w:r>
        <w:rPr>
          <w:rFonts w:hint="default" w:ascii="Times New Roman" w:hAnsi="Times New Roman" w:eastAsia="宋体" w:cs="Times New Roman"/>
          <w:sz w:val="21"/>
          <w:szCs w:val="21"/>
        </w:rPr>
        <w:t>转化体和玉米内标准基因</w:t>
      </w:r>
      <w:r>
        <w:rPr>
          <w:rFonts w:hint="default" w:ascii="Times New Roman" w:hAnsi="Times New Roman" w:eastAsia="宋体" w:cs="Times New Roman"/>
          <w:i/>
          <w:sz w:val="21"/>
          <w:szCs w:val="21"/>
        </w:rPr>
        <w:t>zSSIIb</w:t>
      </w:r>
      <w:r>
        <w:rPr>
          <w:rFonts w:hint="default" w:ascii="Times New Roman" w:hAnsi="Times New Roman" w:eastAsia="宋体" w:cs="Times New Roman"/>
          <w:sz w:val="21"/>
          <w:szCs w:val="21"/>
        </w:rPr>
        <w:t>检测体系的</w:t>
      </w:r>
      <w:r>
        <w:rPr>
          <w:rFonts w:hint="default" w:ascii="Times New Roman" w:hAnsi="Times New Roman" w:eastAsia="宋体" w:cs="Times New Roman"/>
          <w:i/>
          <w:iCs/>
          <w:sz w:val="21"/>
          <w:szCs w:val="21"/>
        </w:rPr>
        <w:t>Ct</w:t>
      </w:r>
      <w:r>
        <w:rPr>
          <w:rFonts w:hint="default" w:ascii="Times New Roman" w:hAnsi="Times New Roman" w:eastAsia="宋体" w:cs="Times New Roman"/>
          <w:sz w:val="21"/>
          <w:szCs w:val="21"/>
        </w:rPr>
        <w:t>值与模板拷贝数间均具有良好的线性关系。</w:t>
      </w:r>
    </w:p>
    <w:p w14:paraId="12CADD86">
      <w:pPr>
        <w:tabs>
          <w:tab w:val="left" w:pos="3315"/>
        </w:tabs>
        <w:spacing w:line="360" w:lineRule="auto"/>
        <w:jc w:val="center"/>
        <w:rPr>
          <w:rFonts w:hint="eastAsia" w:eastAsia="仿宋"/>
          <w:sz w:val="32"/>
          <w:szCs w:val="32"/>
          <w:lang w:eastAsia="zh-CN"/>
        </w:rPr>
      </w:pPr>
      <w:r>
        <w:rPr>
          <w:rFonts w:hint="eastAsia" w:eastAsia="仿宋"/>
          <w:color w:val="auto"/>
          <w:sz w:val="32"/>
          <w:szCs w:val="32"/>
          <w:highlight w:val="none"/>
          <w:lang w:eastAsia="zh-CN"/>
        </w:rPr>
        <w:drawing>
          <wp:inline distT="0" distB="0" distL="114300" distR="114300">
            <wp:extent cx="4566920" cy="4140200"/>
            <wp:effectExtent l="0" t="0" r="5080" b="12700"/>
            <wp:docPr id="10" name="图片 10" descr="841e660894421223c65bbb726348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41e660894421223c65bbb726348a05"/>
                    <pic:cNvPicPr>
                      <a:picLocks noChangeAspect="1"/>
                    </pic:cNvPicPr>
                  </pic:nvPicPr>
                  <pic:blipFill>
                    <a:blip r:embed="rId38"/>
                    <a:stretch>
                      <a:fillRect/>
                    </a:stretch>
                  </pic:blipFill>
                  <pic:spPr>
                    <a:xfrm>
                      <a:off x="0" y="0"/>
                      <a:ext cx="4566920" cy="4140200"/>
                    </a:xfrm>
                    <a:prstGeom prst="rect">
                      <a:avLst/>
                    </a:prstGeom>
                  </pic:spPr>
                </pic:pic>
              </a:graphicData>
            </a:graphic>
          </wp:inline>
        </w:drawing>
      </w:r>
    </w:p>
    <w:p w14:paraId="5B883D56">
      <w:pPr>
        <w:jc w:val="center"/>
        <w:rPr>
          <w:rFonts w:hint="default"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图</w:t>
      </w:r>
      <w:r>
        <w:rPr>
          <w:rFonts w:hint="eastAsia" w:eastAsia="黑体" w:cs="Calibri"/>
          <w:kern w:val="2"/>
          <w:sz w:val="18"/>
          <w:szCs w:val="22"/>
          <w:lang w:val="en-US" w:eastAsia="zh-CN" w:bidi="ar-SA"/>
        </w:rPr>
        <w:t>2-11</w:t>
      </w:r>
      <w:r>
        <w:rPr>
          <w:rFonts w:ascii="Times New Roman" w:hAnsi="Times New Roman" w:eastAsia="黑体" w:cs="Calibri"/>
          <w:kern w:val="2"/>
          <w:sz w:val="18"/>
          <w:szCs w:val="22"/>
          <w:lang w:val="en-US" w:eastAsia="zh-CN" w:bidi="ar-SA"/>
        </w:rPr>
        <w:t xml:space="preserve"> </w:t>
      </w:r>
      <w:r>
        <w:rPr>
          <w:rFonts w:hint="eastAsia" w:eastAsia="黑体" w:cs="Calibri"/>
          <w:kern w:val="2"/>
          <w:sz w:val="18"/>
          <w:szCs w:val="22"/>
          <w:lang w:val="en-US" w:eastAsia="zh-CN" w:bidi="ar-SA"/>
        </w:rPr>
        <w:t>QY2569-42</w:t>
      </w:r>
      <w:r>
        <w:rPr>
          <w:rFonts w:ascii="Times New Roman" w:hAnsi="Times New Roman" w:eastAsia="黑体" w:cs="Calibri"/>
          <w:kern w:val="2"/>
          <w:sz w:val="18"/>
          <w:szCs w:val="22"/>
          <w:lang w:val="en-US" w:eastAsia="zh-CN" w:bidi="ar-SA"/>
        </w:rPr>
        <w:t>检测方法的标准曲线</w:t>
      </w:r>
    </w:p>
    <w:p w14:paraId="6DD744B8">
      <w:pPr>
        <w:ind w:firstLine="2951" w:firstLineChars="1400"/>
        <w:jc w:val="center"/>
        <w:rPr>
          <w:rFonts w:eastAsia="仿宋"/>
          <w:b/>
          <w:bCs/>
          <w:szCs w:val="21"/>
        </w:rPr>
      </w:pPr>
    </w:p>
    <w:p w14:paraId="7F31298A">
      <w:pPr>
        <w:jc w:val="center"/>
        <w:rPr>
          <w:rFonts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2-12</w:t>
      </w:r>
      <w:r>
        <w:rPr>
          <w:rFonts w:ascii="Times New Roman" w:hAnsi="Times New Roman" w:eastAsia="黑体" w:cs="Calibri"/>
          <w:kern w:val="2"/>
          <w:sz w:val="18"/>
          <w:szCs w:val="22"/>
          <w:lang w:val="en-US" w:eastAsia="zh-CN" w:bidi="ar-SA"/>
        </w:rPr>
        <w:t xml:space="preserve"> </w:t>
      </w:r>
      <w:r>
        <w:rPr>
          <w:rFonts w:hint="eastAsia" w:eastAsia="黑体" w:cs="Calibri"/>
          <w:kern w:val="2"/>
          <w:sz w:val="18"/>
          <w:szCs w:val="22"/>
          <w:lang w:val="en-US" w:eastAsia="zh-CN" w:bidi="ar-SA"/>
        </w:rPr>
        <w:t>QY2569-42</w:t>
      </w:r>
      <w:r>
        <w:rPr>
          <w:rFonts w:ascii="Times New Roman" w:hAnsi="Times New Roman" w:eastAsia="黑体" w:cs="Calibri"/>
          <w:kern w:val="2"/>
          <w:sz w:val="18"/>
          <w:szCs w:val="22"/>
          <w:lang w:val="en-US" w:eastAsia="zh-CN" w:bidi="ar-SA"/>
        </w:rPr>
        <w:t>检测方法的标准曲线结果</w:t>
      </w:r>
    </w:p>
    <w:tbl>
      <w:tblPr>
        <w:tblStyle w:val="16"/>
        <w:tblW w:w="8218" w:type="dxa"/>
        <w:jc w:val="center"/>
        <w:tblLayout w:type="fixed"/>
        <w:tblCellMar>
          <w:top w:w="0" w:type="dxa"/>
          <w:left w:w="108" w:type="dxa"/>
          <w:bottom w:w="0" w:type="dxa"/>
          <w:right w:w="108" w:type="dxa"/>
        </w:tblCellMar>
      </w:tblPr>
      <w:tblGrid>
        <w:gridCol w:w="866"/>
        <w:gridCol w:w="1208"/>
        <w:gridCol w:w="1354"/>
        <w:gridCol w:w="1114"/>
        <w:gridCol w:w="1208"/>
        <w:gridCol w:w="1322"/>
        <w:gridCol w:w="1146"/>
      </w:tblGrid>
      <w:tr w14:paraId="295A2A2D">
        <w:tblPrEx>
          <w:tblCellMar>
            <w:top w:w="0" w:type="dxa"/>
            <w:left w:w="108" w:type="dxa"/>
            <w:bottom w:w="0" w:type="dxa"/>
            <w:right w:w="108" w:type="dxa"/>
          </w:tblCellMar>
        </w:tblPrEx>
        <w:trPr>
          <w:trHeight w:val="340"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78614">
            <w:pPr>
              <w:widowControl/>
              <w:jc w:val="center"/>
              <w:textAlignment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重复</w:t>
            </w:r>
          </w:p>
        </w:tc>
        <w:tc>
          <w:tcPr>
            <w:tcW w:w="36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D45C2">
            <w:pPr>
              <w:widowControl/>
              <w:jc w:val="center"/>
              <w:textAlignment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i/>
                <w:iCs/>
                <w:color w:val="000000"/>
                <w:kern w:val="0"/>
                <w:sz w:val="18"/>
                <w:szCs w:val="18"/>
                <w:highlight w:val="none"/>
              </w:rPr>
              <w:t>zSSIIb</w:t>
            </w:r>
            <w:r>
              <w:rPr>
                <w:rFonts w:hint="default" w:ascii="Times New Roman" w:hAnsi="Times New Roman" w:eastAsia="宋体" w:cs="Times New Roman"/>
                <w:b/>
                <w:bCs/>
                <w:color w:val="000000"/>
                <w:kern w:val="0"/>
                <w:sz w:val="18"/>
                <w:szCs w:val="18"/>
                <w:highlight w:val="none"/>
              </w:rPr>
              <w:t>基因</w:t>
            </w:r>
          </w:p>
        </w:tc>
        <w:tc>
          <w:tcPr>
            <w:tcW w:w="36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C7DDFA">
            <w:pPr>
              <w:widowControl/>
              <w:jc w:val="center"/>
              <w:textAlignment w:val="center"/>
              <w:rPr>
                <w:rFonts w:hint="default" w:ascii="Times New Roman" w:hAnsi="Times New Roman" w:eastAsia="宋体" w:cs="Times New Roman"/>
                <w:b/>
                <w:bCs/>
                <w:color w:val="000000"/>
                <w:sz w:val="18"/>
                <w:szCs w:val="18"/>
                <w:highlight w:val="none"/>
              </w:rPr>
            </w:pPr>
            <w:r>
              <w:rPr>
                <w:rFonts w:hint="eastAsia" w:cs="Times New Roman"/>
                <w:b/>
                <w:bCs/>
                <w:color w:val="000000"/>
                <w:kern w:val="0"/>
                <w:sz w:val="18"/>
                <w:szCs w:val="18"/>
                <w:highlight w:val="none"/>
                <w:lang w:eastAsia="zh-CN"/>
              </w:rPr>
              <w:t>QY2569-42</w:t>
            </w:r>
            <w:r>
              <w:rPr>
                <w:rFonts w:hint="default" w:ascii="Times New Roman" w:hAnsi="Times New Roman" w:eastAsia="宋体" w:cs="Times New Roman"/>
                <w:b/>
                <w:bCs/>
                <w:color w:val="000000"/>
                <w:kern w:val="0"/>
                <w:sz w:val="18"/>
                <w:szCs w:val="18"/>
                <w:highlight w:val="none"/>
              </w:rPr>
              <w:t>转化体</w:t>
            </w:r>
          </w:p>
        </w:tc>
      </w:tr>
      <w:tr w14:paraId="0CB4FDE5">
        <w:tblPrEx>
          <w:tblCellMar>
            <w:top w:w="0" w:type="dxa"/>
            <w:left w:w="108" w:type="dxa"/>
            <w:bottom w:w="0" w:type="dxa"/>
            <w:right w:w="108" w:type="dxa"/>
          </w:tblCellMar>
        </w:tblPrEx>
        <w:trPr>
          <w:trHeight w:val="340"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BFBB">
            <w:pPr>
              <w:jc w:val="center"/>
              <w:rPr>
                <w:rFonts w:hint="default" w:ascii="Times New Roman" w:hAnsi="Times New Roman" w:eastAsia="宋体" w:cs="Times New Roman"/>
                <w:b/>
                <w:bCs/>
                <w:color w:val="000000"/>
                <w:sz w:val="18"/>
                <w:szCs w:val="18"/>
                <w:highlight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53C2">
            <w:pPr>
              <w:widowControl/>
              <w:jc w:val="center"/>
              <w:textAlignment w:val="center"/>
              <w:rPr>
                <w:rFonts w:hint="default" w:ascii="Times New Roman" w:hAnsi="Times New Roman" w:eastAsia="宋体" w:cs="Times New Roman"/>
                <w:b/>
                <w:bCs/>
                <w:color w:val="000000"/>
                <w:sz w:val="18"/>
                <w:szCs w:val="18"/>
                <w:highlight w:val="none"/>
              </w:rPr>
            </w:pPr>
            <w:r>
              <w:rPr>
                <w:rStyle w:val="24"/>
                <w:rFonts w:hint="default" w:ascii="Times New Roman" w:hAnsi="Times New Roman" w:eastAsia="宋体" w:cs="Times New Roman"/>
                <w:sz w:val="18"/>
                <w:szCs w:val="18"/>
                <w:highlight w:val="none"/>
              </w:rPr>
              <w:t>曲线斜率</w:t>
            </w:r>
            <w:r>
              <w:rPr>
                <w:rStyle w:val="25"/>
                <w:rFonts w:hint="default" w:ascii="Times New Roman" w:hAnsi="Times New Roman" w:eastAsia="宋体" w:cs="Times New Roman"/>
                <w:i w:val="0"/>
                <w:iCs w:val="0"/>
                <w:sz w:val="18"/>
                <w:szCs w:val="18"/>
                <w:highlight w:val="none"/>
              </w:rPr>
              <w:t>b</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9378">
            <w:pPr>
              <w:widowControl/>
              <w:jc w:val="center"/>
              <w:textAlignment w:val="center"/>
              <w:rPr>
                <w:rFonts w:hint="default" w:ascii="Times New Roman" w:hAnsi="Times New Roman" w:eastAsia="宋体" w:cs="Times New Roman"/>
                <w:b/>
                <w:bCs/>
                <w:color w:val="000000"/>
                <w:sz w:val="18"/>
                <w:szCs w:val="18"/>
                <w:highlight w:val="none"/>
              </w:rPr>
            </w:pPr>
            <w:r>
              <w:rPr>
                <w:rStyle w:val="24"/>
                <w:rFonts w:hint="default" w:ascii="Times New Roman" w:hAnsi="Times New Roman" w:eastAsia="宋体" w:cs="Times New Roman"/>
                <w:sz w:val="18"/>
                <w:szCs w:val="18"/>
                <w:highlight w:val="none"/>
              </w:rPr>
              <w:t>决定系数</w:t>
            </w:r>
            <w:r>
              <w:rPr>
                <w:rStyle w:val="25"/>
                <w:rFonts w:hint="default" w:ascii="Times New Roman" w:hAnsi="Times New Roman" w:eastAsia="宋体" w:cs="Times New Roman"/>
                <w:i w:val="0"/>
                <w:iCs w:val="0"/>
                <w:sz w:val="18"/>
                <w:szCs w:val="18"/>
                <w:highlight w:val="none"/>
              </w:rPr>
              <w:t>R</w:t>
            </w:r>
            <w:r>
              <w:rPr>
                <w:rStyle w:val="26"/>
                <w:rFonts w:hint="default" w:ascii="Times New Roman" w:hAnsi="Times New Roman" w:eastAsia="宋体" w:cs="Times New Roman"/>
                <w:sz w:val="18"/>
                <w:szCs w:val="18"/>
                <w:highlight w:val="none"/>
              </w:rPr>
              <w:t>2</w:t>
            </w:r>
          </w:p>
        </w:tc>
        <w:tc>
          <w:tcPr>
            <w:tcW w:w="1114" w:type="dxa"/>
            <w:tcBorders>
              <w:top w:val="single" w:color="000000" w:sz="4" w:space="0"/>
              <w:left w:val="single" w:color="000000" w:sz="4" w:space="0"/>
              <w:right w:val="single" w:color="000000" w:sz="4" w:space="0"/>
            </w:tcBorders>
            <w:shd w:val="clear" w:color="auto" w:fill="auto"/>
            <w:vAlign w:val="center"/>
          </w:tcPr>
          <w:p w14:paraId="78E962E8">
            <w:pPr>
              <w:widowControl/>
              <w:jc w:val="center"/>
              <w:textAlignment w:val="center"/>
              <w:rPr>
                <w:rStyle w:val="24"/>
                <w:rFonts w:hint="default" w:ascii="Times New Roman" w:hAnsi="Times New Roman" w:eastAsia="宋体" w:cs="Times New Roman"/>
                <w:sz w:val="18"/>
                <w:szCs w:val="18"/>
                <w:highlight w:val="none"/>
              </w:rPr>
            </w:pPr>
            <w:r>
              <w:rPr>
                <w:rStyle w:val="24"/>
                <w:rFonts w:hint="default" w:ascii="Times New Roman" w:hAnsi="Times New Roman" w:eastAsia="宋体" w:cs="Times New Roman"/>
                <w:sz w:val="18"/>
                <w:szCs w:val="18"/>
                <w:highlight w:val="none"/>
              </w:rPr>
              <w:t>扩增效率</w:t>
            </w:r>
          </w:p>
          <w:p w14:paraId="0113BD23">
            <w:pPr>
              <w:widowControl/>
              <w:jc w:val="center"/>
              <w:textAlignment w:val="center"/>
              <w:rPr>
                <w:rFonts w:hint="default" w:ascii="Times New Roman" w:hAnsi="Times New Roman" w:eastAsia="宋体" w:cs="Times New Roman"/>
                <w:b/>
                <w:bCs/>
                <w:color w:val="000000"/>
                <w:sz w:val="18"/>
                <w:szCs w:val="18"/>
                <w:highlight w:val="none"/>
              </w:rPr>
            </w:pPr>
            <w:r>
              <w:rPr>
                <w:rStyle w:val="25"/>
                <w:rFonts w:hint="default" w:ascii="Times New Roman" w:hAnsi="Times New Roman" w:eastAsia="宋体" w:cs="Times New Roman"/>
                <w:i w:val="0"/>
                <w:iCs w:val="0"/>
                <w:sz w:val="18"/>
                <w:szCs w:val="18"/>
                <w:highlight w:val="none"/>
              </w:rPr>
              <w:t>E</w:t>
            </w:r>
            <w:r>
              <w:rPr>
                <w:rStyle w:val="24"/>
                <w:rFonts w:hint="default" w:ascii="Times New Roman" w:hAnsi="Times New Roman" w:eastAsia="宋体" w:cs="Times New Roman"/>
                <w:sz w:val="18"/>
                <w:szCs w:val="18"/>
                <w:highlight w:val="none"/>
              </w:rPr>
              <w:t>（</w:t>
            </w:r>
            <w:r>
              <w:rPr>
                <w:rStyle w:val="23"/>
                <w:rFonts w:hint="default" w:ascii="Times New Roman" w:hAnsi="Times New Roman" w:eastAsia="宋体" w:cs="Times New Roman"/>
                <w:sz w:val="18"/>
                <w:szCs w:val="18"/>
                <w:highlight w:val="none"/>
              </w:rPr>
              <w:t>%</w:t>
            </w:r>
            <w:r>
              <w:rPr>
                <w:rStyle w:val="24"/>
                <w:rFonts w:hint="default" w:ascii="Times New Roman" w:hAnsi="Times New Roman" w:eastAsia="宋体" w:cs="Times New Roman"/>
                <w:sz w:val="18"/>
                <w:szCs w:val="18"/>
                <w:highlight w:val="none"/>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E42A">
            <w:pPr>
              <w:widowControl/>
              <w:jc w:val="center"/>
              <w:textAlignment w:val="center"/>
              <w:rPr>
                <w:rFonts w:hint="default" w:ascii="Times New Roman" w:hAnsi="Times New Roman" w:eastAsia="宋体" w:cs="Times New Roman"/>
                <w:b/>
                <w:bCs/>
                <w:color w:val="000000"/>
                <w:sz w:val="18"/>
                <w:szCs w:val="18"/>
                <w:highlight w:val="none"/>
              </w:rPr>
            </w:pPr>
            <w:r>
              <w:rPr>
                <w:rStyle w:val="24"/>
                <w:rFonts w:hint="default" w:ascii="Times New Roman" w:hAnsi="Times New Roman" w:eastAsia="宋体" w:cs="Times New Roman"/>
                <w:sz w:val="18"/>
                <w:szCs w:val="18"/>
                <w:highlight w:val="none"/>
              </w:rPr>
              <w:t>曲线斜率</w:t>
            </w:r>
            <w:r>
              <w:rPr>
                <w:rStyle w:val="25"/>
                <w:rFonts w:hint="default" w:ascii="Times New Roman" w:hAnsi="Times New Roman" w:eastAsia="宋体" w:cs="Times New Roman"/>
                <w:i w:val="0"/>
                <w:iCs w:val="0"/>
                <w:sz w:val="18"/>
                <w:szCs w:val="18"/>
                <w:highlight w:val="none"/>
              </w:rPr>
              <w:t>b</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5F38">
            <w:pPr>
              <w:widowControl/>
              <w:jc w:val="center"/>
              <w:textAlignment w:val="center"/>
              <w:rPr>
                <w:rFonts w:hint="default" w:ascii="Times New Roman" w:hAnsi="Times New Roman" w:eastAsia="宋体" w:cs="Times New Roman"/>
                <w:b/>
                <w:bCs/>
                <w:color w:val="000000"/>
                <w:sz w:val="18"/>
                <w:szCs w:val="18"/>
                <w:highlight w:val="none"/>
              </w:rPr>
            </w:pPr>
            <w:r>
              <w:rPr>
                <w:rStyle w:val="24"/>
                <w:rFonts w:hint="default" w:ascii="Times New Roman" w:hAnsi="Times New Roman" w:eastAsia="宋体" w:cs="Times New Roman"/>
                <w:sz w:val="18"/>
                <w:szCs w:val="18"/>
                <w:highlight w:val="none"/>
              </w:rPr>
              <w:t>决定系数</w:t>
            </w:r>
            <w:r>
              <w:rPr>
                <w:rStyle w:val="25"/>
                <w:rFonts w:hint="default" w:ascii="Times New Roman" w:hAnsi="Times New Roman" w:eastAsia="宋体" w:cs="Times New Roman"/>
                <w:i w:val="0"/>
                <w:iCs w:val="0"/>
                <w:sz w:val="18"/>
                <w:szCs w:val="18"/>
                <w:highlight w:val="none"/>
              </w:rPr>
              <w:t>R</w:t>
            </w:r>
            <w:r>
              <w:rPr>
                <w:rStyle w:val="26"/>
                <w:rFonts w:hint="default" w:ascii="Times New Roman" w:hAnsi="Times New Roman" w:eastAsia="宋体" w:cs="Times New Roman"/>
                <w:sz w:val="18"/>
                <w:szCs w:val="18"/>
                <w:highlight w:val="none"/>
              </w:rPr>
              <w:t>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68BE">
            <w:pPr>
              <w:widowControl/>
              <w:jc w:val="center"/>
              <w:textAlignment w:val="center"/>
              <w:rPr>
                <w:rStyle w:val="24"/>
                <w:rFonts w:hint="default" w:ascii="Times New Roman" w:hAnsi="Times New Roman" w:eastAsia="宋体" w:cs="Times New Roman"/>
                <w:sz w:val="18"/>
                <w:szCs w:val="18"/>
                <w:highlight w:val="none"/>
              </w:rPr>
            </w:pPr>
            <w:r>
              <w:rPr>
                <w:rStyle w:val="24"/>
                <w:rFonts w:hint="default" w:ascii="Times New Roman" w:hAnsi="Times New Roman" w:eastAsia="宋体" w:cs="Times New Roman"/>
                <w:sz w:val="18"/>
                <w:szCs w:val="18"/>
                <w:highlight w:val="none"/>
              </w:rPr>
              <w:t>扩增效率</w:t>
            </w:r>
          </w:p>
          <w:p w14:paraId="1261012C">
            <w:pPr>
              <w:widowControl/>
              <w:jc w:val="center"/>
              <w:textAlignment w:val="center"/>
              <w:rPr>
                <w:rFonts w:hint="default" w:ascii="Times New Roman" w:hAnsi="Times New Roman" w:eastAsia="宋体" w:cs="Times New Roman"/>
                <w:b/>
                <w:bCs/>
                <w:color w:val="000000"/>
                <w:sz w:val="18"/>
                <w:szCs w:val="18"/>
                <w:highlight w:val="none"/>
              </w:rPr>
            </w:pPr>
            <w:r>
              <w:rPr>
                <w:rStyle w:val="25"/>
                <w:rFonts w:hint="default" w:ascii="Times New Roman" w:hAnsi="Times New Roman" w:eastAsia="宋体" w:cs="Times New Roman"/>
                <w:i w:val="0"/>
                <w:iCs w:val="0"/>
                <w:sz w:val="18"/>
                <w:szCs w:val="18"/>
                <w:highlight w:val="none"/>
              </w:rPr>
              <w:t>E</w:t>
            </w:r>
            <w:r>
              <w:rPr>
                <w:rStyle w:val="24"/>
                <w:rFonts w:hint="default" w:ascii="Times New Roman" w:hAnsi="Times New Roman" w:eastAsia="宋体" w:cs="Times New Roman"/>
                <w:sz w:val="18"/>
                <w:szCs w:val="18"/>
                <w:highlight w:val="none"/>
              </w:rPr>
              <w:t>（</w:t>
            </w:r>
            <w:r>
              <w:rPr>
                <w:rStyle w:val="23"/>
                <w:rFonts w:hint="default" w:ascii="Times New Roman" w:hAnsi="Times New Roman" w:eastAsia="宋体" w:cs="Times New Roman"/>
                <w:sz w:val="18"/>
                <w:szCs w:val="18"/>
                <w:highlight w:val="none"/>
              </w:rPr>
              <w:t>%</w:t>
            </w:r>
            <w:r>
              <w:rPr>
                <w:rStyle w:val="24"/>
                <w:rFonts w:hint="default" w:ascii="Times New Roman" w:hAnsi="Times New Roman" w:eastAsia="宋体" w:cs="Times New Roman"/>
                <w:sz w:val="18"/>
                <w:szCs w:val="18"/>
                <w:highlight w:val="none"/>
              </w:rPr>
              <w:t>）</w:t>
            </w:r>
          </w:p>
        </w:tc>
      </w:tr>
      <w:tr w14:paraId="6D165480">
        <w:tblPrEx>
          <w:tblCellMar>
            <w:top w:w="0" w:type="dxa"/>
            <w:left w:w="108" w:type="dxa"/>
            <w:bottom w:w="0" w:type="dxa"/>
            <w:right w:w="108" w:type="dxa"/>
          </w:tblCellMar>
        </w:tblPrEx>
        <w:trPr>
          <w:trHeight w:val="34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E3A4">
            <w:pPr>
              <w:widowControl/>
              <w:jc w:val="center"/>
              <w:textAlignment w:val="top"/>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kern w:val="0"/>
                <w:sz w:val="18"/>
                <w:szCs w:val="18"/>
                <w:highlight w:val="none"/>
              </w:rPr>
              <w:t>1</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94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-3.440</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23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0.998</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AC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95.317</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21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-3.329</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77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0.998</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8F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99.697</w:t>
            </w:r>
          </w:p>
        </w:tc>
      </w:tr>
      <w:tr w14:paraId="1FD1D2ED">
        <w:tblPrEx>
          <w:tblCellMar>
            <w:top w:w="0" w:type="dxa"/>
            <w:left w:w="108" w:type="dxa"/>
            <w:bottom w:w="0" w:type="dxa"/>
            <w:right w:w="108" w:type="dxa"/>
          </w:tblCellMar>
        </w:tblPrEx>
        <w:trPr>
          <w:trHeight w:val="34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61DE">
            <w:pPr>
              <w:widowControl/>
              <w:jc w:val="center"/>
              <w:textAlignment w:val="top"/>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kern w:val="0"/>
                <w:sz w:val="18"/>
                <w:szCs w:val="18"/>
                <w:highlight w:val="none"/>
              </w:rPr>
              <w:t>2</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5E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-3.493</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3E5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0.997</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02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93.321</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AC4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-3.261</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04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0.998</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17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102.625</w:t>
            </w:r>
          </w:p>
        </w:tc>
      </w:tr>
      <w:tr w14:paraId="20E652CF">
        <w:tblPrEx>
          <w:tblCellMar>
            <w:top w:w="0" w:type="dxa"/>
            <w:left w:w="108" w:type="dxa"/>
            <w:bottom w:w="0" w:type="dxa"/>
            <w:right w:w="108" w:type="dxa"/>
          </w:tblCellMar>
        </w:tblPrEx>
        <w:trPr>
          <w:trHeight w:val="34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08E3">
            <w:pPr>
              <w:widowControl/>
              <w:jc w:val="center"/>
              <w:textAlignment w:val="top"/>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kern w:val="0"/>
                <w:sz w:val="18"/>
                <w:szCs w:val="18"/>
                <w:highlight w:val="none"/>
              </w:rPr>
              <w:t>3</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A5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-3.504</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FC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0.998</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394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92.918</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15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-3.289</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A3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0.999</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6B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101.401</w:t>
            </w:r>
          </w:p>
        </w:tc>
      </w:tr>
      <w:tr w14:paraId="4C60A448">
        <w:tblPrEx>
          <w:tblCellMar>
            <w:top w:w="0" w:type="dxa"/>
            <w:left w:w="108" w:type="dxa"/>
            <w:bottom w:w="0" w:type="dxa"/>
            <w:right w:w="108" w:type="dxa"/>
          </w:tblCellMar>
        </w:tblPrEx>
        <w:trPr>
          <w:trHeight w:val="34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1166">
            <w:pPr>
              <w:widowControl/>
              <w:jc w:val="center"/>
              <w:textAlignment w:val="top"/>
              <w:rPr>
                <w:rFonts w:hint="default" w:ascii="Times New Roman" w:hAnsi="Times New Roman" w:eastAsia="宋体" w:cs="Times New Roman"/>
                <w:b/>
                <w:bCs/>
                <w:color w:val="000000"/>
                <w:kern w:val="0"/>
                <w:sz w:val="18"/>
                <w:szCs w:val="18"/>
                <w:highlight w:val="none"/>
              </w:rPr>
            </w:pPr>
            <w:r>
              <w:rPr>
                <w:rFonts w:hint="default" w:ascii="Times New Roman" w:hAnsi="Times New Roman" w:eastAsia="宋体" w:cs="Times New Roman"/>
                <w:b/>
                <w:bCs/>
                <w:color w:val="000000"/>
                <w:kern w:val="0"/>
                <w:sz w:val="18"/>
                <w:szCs w:val="18"/>
                <w:highlight w:val="none"/>
              </w:rPr>
              <w:t>平均值</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09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-3.479</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1C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0.99</w:t>
            </w:r>
            <w:r>
              <w:rPr>
                <w:rFonts w:hint="eastAsia" w:ascii="Times New Roman" w:hAnsi="Times New Roman" w:eastAsia="宋体" w:cs="Times New Roman"/>
                <w:i w:val="0"/>
                <w:iCs w:val="0"/>
                <w:color w:val="auto"/>
                <w:kern w:val="2"/>
                <w:sz w:val="18"/>
                <w:szCs w:val="18"/>
                <w:highlight w:val="none"/>
                <w:u w:val="none"/>
                <w:lang w:val="en-US" w:eastAsia="zh-CN" w:bidi="ar-SA"/>
              </w:rPr>
              <w:t>8</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43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93.852</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8D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-3.293</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ED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0.998</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F5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101.241</w:t>
            </w:r>
          </w:p>
        </w:tc>
      </w:tr>
    </w:tbl>
    <w:p w14:paraId="4D21949F">
      <w:pPr>
        <w:rPr>
          <w:rFonts w:eastAsia="仿宋"/>
          <w:szCs w:val="21"/>
          <w:highlight w:val="none"/>
        </w:rPr>
      </w:pPr>
    </w:p>
    <w:p w14:paraId="1A61270D">
      <w:pPr>
        <w:pStyle w:val="4"/>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hint="default"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 实验室内正确度和精密度（精确度）数据分析</w:t>
      </w:r>
    </w:p>
    <w:p w14:paraId="39A9C8A2">
      <w:pPr>
        <w:pStyle w:val="4"/>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hint="default"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6.1 正确度和精密度合格判定标准</w:t>
      </w:r>
    </w:p>
    <w:p w14:paraId="72B4B168">
      <w:pPr>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依据《</w:t>
      </w:r>
      <w:r>
        <w:rPr>
          <w:rFonts w:hint="eastAsia" w:cs="Times New Roman"/>
          <w:sz w:val="21"/>
          <w:szCs w:val="21"/>
          <w:lang w:eastAsia="zh-CN"/>
        </w:rPr>
        <w:t>农业部2259号公告—5—2015</w:t>
      </w:r>
      <w:r>
        <w:rPr>
          <w:rFonts w:hint="default" w:ascii="Times New Roman" w:hAnsi="Times New Roman" w:eastAsia="宋体" w:cs="Times New Roman"/>
          <w:sz w:val="21"/>
          <w:szCs w:val="21"/>
        </w:rPr>
        <w:t xml:space="preserve">  转基因植物及其产品成分检测  实时荧光定量PCR方法制定指南》，对建立的实时荧光定量PCR方法，在实验室内进行确认时，应达到以下要求：在整个动态线性范围内，用正确度表示多次测试的平均值与该样品标称值（已知值）之间的接近程度，且偏倚（</w:t>
      </w:r>
      <w:r>
        <w:rPr>
          <w:rFonts w:hint="eastAsia" w:cs="Times New Roman"/>
          <w:i/>
          <w:iCs/>
          <w:sz w:val="21"/>
          <w:szCs w:val="21"/>
          <w:lang w:eastAsia="zh-CN"/>
        </w:rPr>
        <w:t>bias</w:t>
      </w:r>
      <w:r>
        <w:rPr>
          <w:rFonts w:hint="default" w:ascii="Times New Roman" w:hAnsi="Times New Roman" w:eastAsia="宋体" w:cs="Times New Roman"/>
          <w:sz w:val="21"/>
          <w:szCs w:val="21"/>
        </w:rPr>
        <w:t>）不能超过标称值（已知值）的25%，即|</w:t>
      </w:r>
      <w:r>
        <w:rPr>
          <w:rFonts w:hint="eastAsia" w:cs="Times New Roman"/>
          <w:i/>
          <w:sz w:val="21"/>
          <w:szCs w:val="21"/>
          <w:lang w:eastAsia="zh-CN"/>
        </w:rPr>
        <w:t>bias</w:t>
      </w:r>
      <w:r>
        <w:rPr>
          <w:rFonts w:hint="default" w:ascii="Times New Roman" w:hAnsi="Times New Roman" w:eastAsia="宋体" w:cs="Times New Roman"/>
          <w:i/>
          <w:sz w:val="21"/>
          <w:szCs w:val="21"/>
        </w:rPr>
        <w:t>R</w:t>
      </w:r>
      <w:r>
        <w:rPr>
          <w:rFonts w:hint="default" w:ascii="Times New Roman" w:hAnsi="Times New Roman" w:eastAsia="宋体" w:cs="Times New Roman"/>
          <w:sz w:val="21"/>
          <w:szCs w:val="21"/>
        </w:rPr>
        <w:t>|≤25%；线性动态范围内的精密度（重复性的相对标准偏差</w:t>
      </w:r>
      <w:r>
        <w:rPr>
          <w:rFonts w:hint="default" w:ascii="Times New Roman" w:hAnsi="Times New Roman" w:eastAsia="宋体" w:cs="Times New Roman"/>
          <w:i/>
          <w:iCs/>
          <w:sz w:val="21"/>
          <w:szCs w:val="21"/>
        </w:rPr>
        <w:t>RSD</w:t>
      </w:r>
      <w:r>
        <w:rPr>
          <w:rFonts w:hint="default" w:ascii="Times New Roman" w:hAnsi="Times New Roman" w:eastAsia="宋体" w:cs="Times New Roman"/>
          <w:sz w:val="21"/>
          <w:szCs w:val="21"/>
        </w:rPr>
        <w:t>）一般应≤25%。</w:t>
      </w:r>
    </w:p>
    <w:p w14:paraId="25E9F738">
      <w:pPr>
        <w:pStyle w:val="4"/>
        <w:bidi w:val="0"/>
        <w:spacing w:before="50" w:beforeLines="50" w:after="50" w:afterLines="50" w:line="240" w:lineRule="auto"/>
        <w:ind w:firstLine="420" w:firstLineChars="200"/>
        <w:rPr>
          <w:rFonts w:hint="default" w:ascii="Times New Roman" w:hAnsi="Times New Roman" w:eastAsia="黑体" w:cs="Calibri"/>
          <w:b w:val="0"/>
          <w:bCs/>
          <w:kern w:val="2"/>
          <w:sz w:val="21"/>
          <w:szCs w:val="32"/>
          <w:lang w:val="en-US" w:eastAsia="zh-CN" w:bidi="ar-SA"/>
        </w:rPr>
      </w:pPr>
      <w:r>
        <w:rPr>
          <w:rFonts w:hint="default" w:ascii="Times New Roman" w:hAnsi="Times New Roman" w:eastAsia="黑体" w:cs="Calibri"/>
          <w:b w:val="0"/>
          <w:bCs/>
          <w:kern w:val="2"/>
          <w:sz w:val="21"/>
          <w:szCs w:val="32"/>
          <w:lang w:val="en-US" w:eastAsia="zh-CN" w:bidi="ar-SA"/>
        </w:rPr>
        <w:t>6.2 试样检测数据汇总统计</w:t>
      </w:r>
    </w:p>
    <w:p w14:paraId="7C21342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设置初始浓度为50 ng/µL的抗虫耐除草剂玉米</w:t>
      </w:r>
      <w:r>
        <w:rPr>
          <w:rFonts w:hint="eastAsia" w:cs="Times New Roman"/>
          <w:sz w:val="21"/>
          <w:szCs w:val="21"/>
          <w:lang w:eastAsia="zh-CN"/>
        </w:rPr>
        <w:t>QY2569-42</w:t>
      </w:r>
      <w:r>
        <w:rPr>
          <w:rFonts w:hint="default" w:ascii="Times New Roman" w:hAnsi="Times New Roman" w:eastAsia="宋体" w:cs="Times New Roman"/>
          <w:sz w:val="21"/>
          <w:szCs w:val="21"/>
        </w:rPr>
        <w:t>转化体基因组DNA拷贝数比值为5%、</w:t>
      </w:r>
      <w:bookmarkStart w:id="24" w:name="_Hlk135208559"/>
      <w:r>
        <w:rPr>
          <w:rFonts w:hint="default" w:ascii="Times New Roman" w:hAnsi="Times New Roman" w:eastAsia="宋体" w:cs="Times New Roman"/>
          <w:sz w:val="21"/>
          <w:szCs w:val="21"/>
        </w:rPr>
        <w:t>3%、1%</w:t>
      </w:r>
      <w:bookmarkEnd w:id="24"/>
      <w:r>
        <w:rPr>
          <w:rFonts w:hint="default" w:ascii="Times New Roman" w:hAnsi="Times New Roman" w:eastAsia="宋体" w:cs="Times New Roman"/>
          <w:sz w:val="21"/>
          <w:szCs w:val="21"/>
        </w:rPr>
        <w:t>、0.5%、0.1%的5个含量样品进行测试，每个含量样品设置3个平行子样，每个子样重复测试3次PCR，每个样品各平行子样的转基因含量计算为3次PCR重复中抗虫耐除草剂玉米</w:t>
      </w:r>
      <w:r>
        <w:rPr>
          <w:rFonts w:hint="eastAsia" w:cs="Times New Roman"/>
          <w:sz w:val="21"/>
          <w:szCs w:val="21"/>
          <w:lang w:eastAsia="zh-CN"/>
        </w:rPr>
        <w:t>QY2569-42</w:t>
      </w:r>
      <w:r>
        <w:rPr>
          <w:rFonts w:hint="default" w:ascii="Times New Roman" w:hAnsi="Times New Roman" w:eastAsia="宋体" w:cs="Times New Roman"/>
          <w:sz w:val="21"/>
          <w:szCs w:val="21"/>
        </w:rPr>
        <w:t>转化体特异性序列拷贝数平均值与玉米内标准基因拷贝数平均值的比值（表6-12）。</w:t>
      </w:r>
    </w:p>
    <w:p w14:paraId="5242C819">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130935" cy="469265"/>
            <wp:effectExtent l="0" t="0" r="12065" b="0"/>
            <wp:docPr id="1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3"/>
                    <pic:cNvPicPr>
                      <a:picLocks noChangeAspect="1"/>
                    </pic:cNvPicPr>
                  </pic:nvPicPr>
                  <pic:blipFill>
                    <a:blip r:embed="rId39">
                      <a:clrChange>
                        <a:clrFrom>
                          <a:srgbClr val="FFFFFF"/>
                        </a:clrFrom>
                        <a:clrTo>
                          <a:srgbClr val="FFFFFF">
                            <a:alpha val="0"/>
                          </a:srgbClr>
                        </a:clrTo>
                      </a:clrChange>
                      <a:lum/>
                    </a:blip>
                    <a:stretch>
                      <a:fillRect/>
                    </a:stretch>
                  </pic:blipFill>
                  <pic:spPr>
                    <a:xfrm>
                      <a:off x="0" y="0"/>
                      <a:ext cx="1130935" cy="469265"/>
                    </a:xfrm>
                    <a:prstGeom prst="rect">
                      <a:avLst/>
                    </a:prstGeom>
                    <a:noFill/>
                    <a:ln>
                      <a:noFill/>
                    </a:ln>
                  </pic:spPr>
                </pic:pic>
              </a:graphicData>
            </a:graphic>
          </wp:inline>
        </w:drawing>
      </w:r>
      <w:r>
        <w:rPr>
          <w:rFonts w:hint="default" w:ascii="Times New Roman" w:hAnsi="Times New Roman" w:eastAsia="宋体" w:cs="Times New Roman"/>
          <w:sz w:val="21"/>
          <w:szCs w:val="21"/>
        </w:rPr>
        <w:t>……………………………（4）</w:t>
      </w:r>
    </w:p>
    <w:p w14:paraId="5FCCFDBF">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7"/>
          <w:sz w:val="21"/>
          <w:szCs w:val="21"/>
        </w:rPr>
        <w:drawing>
          <wp:inline distT="0" distB="0" distL="114300" distR="114300">
            <wp:extent cx="924560" cy="400050"/>
            <wp:effectExtent l="0" t="0" r="8890" b="0"/>
            <wp:docPr id="1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4"/>
                    <pic:cNvPicPr>
                      <a:picLocks noChangeAspect="1"/>
                    </pic:cNvPicPr>
                  </pic:nvPicPr>
                  <pic:blipFill>
                    <a:blip r:embed="rId40">
                      <a:clrChange>
                        <a:clrFrom>
                          <a:srgbClr val="FFFFFF"/>
                        </a:clrFrom>
                        <a:clrTo>
                          <a:srgbClr val="FFFFFF">
                            <a:alpha val="0"/>
                          </a:srgbClr>
                        </a:clrTo>
                      </a:clrChange>
                      <a:lum/>
                    </a:blip>
                    <a:stretch>
                      <a:fillRect/>
                    </a:stretch>
                  </pic:blipFill>
                  <pic:spPr>
                    <a:xfrm>
                      <a:off x="0" y="0"/>
                      <a:ext cx="924560" cy="40005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000000"/>
          <w:sz w:val="21"/>
          <w:szCs w:val="21"/>
        </w:rPr>
        <w:t>式中：</w:t>
      </w:r>
    </w:p>
    <w:p w14:paraId="4EA9C8D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eastAsia="宋体" w:cs="Times New Roman"/>
          <w:bCs/>
          <w:i/>
          <w:iCs/>
          <w:color w:val="000000"/>
          <w:position w:val="-6"/>
          <w:sz w:val="21"/>
          <w:szCs w:val="21"/>
        </w:rPr>
        <w:object>
          <v:shape id="_x0000_i1035" o:spt="75" type="#_x0000_t75" style="height:17.1pt;width:13.9pt;" o:ole="t" filled="f" o:preferrelative="t" stroked="f" coordsize="21600,21600">
            <v:path/>
            <v:fill on="f" focussize="0,0"/>
            <v:stroke on="f" joinstyle="miter"/>
            <v:imagedata r:id="rId42" o:title=""/>
            <o:lock v:ext="edit" aspectratio="t"/>
            <w10:wrap type="none"/>
            <w10:anchorlock/>
          </v:shape>
          <o:OLEObject Type="Embed" ProgID="Equation.KSEE3" ShapeID="_x0000_i1035" DrawAspect="Content" ObjectID="_1468075735" r:id="rId41">
            <o:LockedField>false</o:LockedField>
          </o:OLEObject>
        </w:object>
      </w:r>
      <w:r>
        <w:rPr>
          <w:rFonts w:hint="eastAsia" w:ascii="Times New Roman" w:hAnsi="Times New Roman" w:cs="Times New Roman"/>
          <w:bCs/>
          <w:i/>
          <w:iCs/>
          <w:color w:val="000000"/>
          <w:position w:val="-6"/>
          <w:sz w:val="21"/>
          <w:szCs w:val="21"/>
          <w:lang w:val="en-US" w:eastAsia="zh-CN"/>
        </w:rPr>
        <w:t xml:space="preserve">  </w:t>
      </w:r>
      <w:r>
        <w:rPr>
          <w:rFonts w:hint="default" w:ascii="Times New Roman" w:hAnsi="Times New Roman" w:eastAsia="宋体" w:cs="Times New Roman"/>
          <w:bCs/>
          <w:iCs/>
          <w:color w:val="000000"/>
          <w:sz w:val="21"/>
          <w:szCs w:val="21"/>
        </w:rPr>
        <w:t>—平行子样</w:t>
      </w:r>
      <w:r>
        <w:rPr>
          <w:rFonts w:hint="default" w:ascii="Times New Roman" w:hAnsi="Times New Roman" w:eastAsia="宋体" w:cs="Times New Roman"/>
          <w:bCs/>
          <w:i/>
          <w:color w:val="000000"/>
          <w:sz w:val="21"/>
          <w:szCs w:val="21"/>
        </w:rPr>
        <w:t>k</w:t>
      </w:r>
      <w:r>
        <w:rPr>
          <w:rFonts w:hint="default" w:ascii="Times New Roman" w:hAnsi="Times New Roman" w:eastAsia="宋体" w:cs="Times New Roman"/>
          <w:bCs/>
          <w:iCs/>
          <w:color w:val="000000"/>
          <w:sz w:val="21"/>
          <w:szCs w:val="21"/>
        </w:rPr>
        <w:t>各重复</w:t>
      </w:r>
      <w:r>
        <w:rPr>
          <w:rFonts w:hint="default" w:ascii="Times New Roman" w:hAnsi="Times New Roman" w:eastAsia="宋体" w:cs="Times New Roman"/>
          <w:sz w:val="21"/>
          <w:szCs w:val="21"/>
        </w:rPr>
        <w:t>抗虫耐除草剂玉米</w:t>
      </w:r>
      <w:r>
        <w:rPr>
          <w:rFonts w:hint="eastAsia" w:cs="Times New Roman"/>
          <w:sz w:val="21"/>
          <w:szCs w:val="21"/>
          <w:lang w:eastAsia="zh-CN"/>
        </w:rPr>
        <w:t>QY2569-42</w:t>
      </w:r>
      <w:r>
        <w:rPr>
          <w:rFonts w:hint="default" w:ascii="Times New Roman" w:hAnsi="Times New Roman" w:eastAsia="宋体" w:cs="Times New Roman"/>
          <w:bCs/>
          <w:color w:val="000000"/>
          <w:sz w:val="21"/>
          <w:szCs w:val="21"/>
        </w:rPr>
        <w:t>转化体序列</w:t>
      </w:r>
      <w:r>
        <w:rPr>
          <w:rFonts w:hint="default" w:ascii="Times New Roman" w:hAnsi="Times New Roman" w:eastAsia="宋体" w:cs="Times New Roman"/>
          <w:sz w:val="21"/>
          <w:szCs w:val="21"/>
        </w:rPr>
        <w:t>拷贝数平均值</w:t>
      </w:r>
      <w:r>
        <w:rPr>
          <w:rFonts w:hint="default" w:ascii="Times New Roman" w:hAnsi="Times New Roman" w:eastAsia="宋体" w:cs="Times New Roman"/>
          <w:bCs/>
          <w:color w:val="000000"/>
          <w:sz w:val="21"/>
          <w:szCs w:val="21"/>
        </w:rPr>
        <w:t>与玉米内标准基因拷贝数平均值的比值，单位为百分号（%）。其中，下标</w:t>
      </w:r>
      <w:r>
        <w:rPr>
          <w:rFonts w:hint="default" w:ascii="Times New Roman" w:hAnsi="Times New Roman" w:eastAsia="宋体" w:cs="Times New Roman"/>
          <w:bCs/>
          <w:i/>
          <w:color w:val="000000"/>
          <w:sz w:val="21"/>
          <w:szCs w:val="21"/>
        </w:rPr>
        <w:t>k</w:t>
      </w:r>
      <w:r>
        <w:rPr>
          <w:rFonts w:hint="default" w:ascii="Times New Roman" w:hAnsi="Times New Roman" w:eastAsia="宋体" w:cs="Times New Roman"/>
          <w:bCs/>
          <w:color w:val="000000"/>
          <w:sz w:val="21"/>
          <w:szCs w:val="21"/>
        </w:rPr>
        <w:t>—各平行子样的顺序号，分别记为1、2、3</w:t>
      </w:r>
      <w:r>
        <w:rPr>
          <w:rFonts w:hint="eastAsia" w:ascii="Times New Roman" w:hAnsi="Times New Roman" w:cs="Times New Roman"/>
          <w:bCs/>
          <w:color w:val="000000"/>
          <w:sz w:val="21"/>
          <w:szCs w:val="21"/>
          <w:lang w:eastAsia="zh-CN"/>
        </w:rPr>
        <w:t>；</w:t>
      </w:r>
    </w:p>
    <w:p w14:paraId="0A47B4DC">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eastAsia="宋体" w:cs="Times New Roman"/>
          <w:bCs/>
          <w:iCs/>
          <w:color w:val="000000"/>
          <w:sz w:val="21"/>
          <w:szCs w:val="21"/>
        </w:rPr>
        <w:fldChar w:fldCharType="begin"/>
      </w:r>
      <w:r>
        <w:rPr>
          <w:rFonts w:hint="default" w:ascii="Times New Roman" w:hAnsi="Times New Roman" w:eastAsia="宋体" w:cs="Times New Roman"/>
          <w:bCs/>
          <w:iCs/>
          <w:color w:val="000000"/>
          <w:sz w:val="21"/>
          <w:szCs w:val="21"/>
        </w:rPr>
        <w:instrText xml:space="preserve"> QUOTE </w:instrText>
      </w:r>
      <w:r>
        <w:rPr>
          <w:rFonts w:hint="default" w:ascii="Times New Roman" w:hAnsi="Times New Roman" w:eastAsia="宋体" w:cs="Times New Roman"/>
          <w:position w:val="-15"/>
          <w:sz w:val="21"/>
          <w:szCs w:val="21"/>
        </w:rPr>
        <w:drawing>
          <wp:inline distT="0" distB="0" distL="114300" distR="114300">
            <wp:extent cx="114300" cy="295910"/>
            <wp:effectExtent l="0" t="0" r="0" b="0"/>
            <wp:docPr id="1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pic:cNvPicPr>
                      <a:picLocks noChangeAspect="1"/>
                    </pic:cNvPicPr>
                  </pic:nvPicPr>
                  <pic:blipFill>
                    <a:blip r:embed="rId43">
                      <a:clrChange>
                        <a:clrFrom>
                          <a:srgbClr val="FFFFFF"/>
                        </a:clrFrom>
                        <a:clrTo>
                          <a:srgbClr val="FFFFFF">
                            <a:alpha val="0"/>
                          </a:srgbClr>
                        </a:clrTo>
                      </a:clrChange>
                      <a:lum/>
                    </a:blip>
                    <a:stretch>
                      <a:fillRect/>
                    </a:stretch>
                  </pic:blipFill>
                  <pic:spPr>
                    <a:xfrm>
                      <a:off x="0" y="0"/>
                      <a:ext cx="114300" cy="295910"/>
                    </a:xfrm>
                    <a:prstGeom prst="rect">
                      <a:avLst/>
                    </a:prstGeom>
                    <a:noFill/>
                    <a:ln>
                      <a:noFill/>
                    </a:ln>
                  </pic:spPr>
                </pic:pic>
              </a:graphicData>
            </a:graphic>
          </wp:inline>
        </w:drawing>
      </w:r>
      <w:r>
        <w:rPr>
          <w:rFonts w:hint="default" w:ascii="Times New Roman" w:hAnsi="Times New Roman" w:eastAsia="宋体" w:cs="Times New Roman"/>
          <w:bCs/>
          <w:iCs/>
          <w:color w:val="000000"/>
          <w:sz w:val="21"/>
          <w:szCs w:val="21"/>
        </w:rPr>
        <w:fldChar w:fldCharType="end"/>
      </w:r>
      <w:r>
        <w:rPr>
          <w:rFonts w:hint="default" w:ascii="Times New Roman" w:hAnsi="Times New Roman" w:eastAsia="宋体" w:cs="Times New Roman"/>
          <w:bCs/>
          <w:i/>
          <w:iCs/>
          <w:color w:val="000000"/>
          <w:position w:val="-8"/>
          <w:sz w:val="21"/>
          <w:szCs w:val="21"/>
        </w:rPr>
        <w:object>
          <v:shape id="_x0000_i1036" o:spt="75" type="#_x0000_t75" style="height:18.2pt;width:18.2pt;" o:ole="t" filled="f" o:preferrelative="t" stroked="f" coordsize="21600,21600">
            <v:path/>
            <v:fill on="f" focussize="0,0"/>
            <v:stroke on="f" joinstyle="miter"/>
            <v:imagedata r:id="rId45" o:title=""/>
            <o:lock v:ext="edit" aspectratio="t"/>
            <w10:wrap type="none"/>
            <w10:anchorlock/>
          </v:shape>
          <o:OLEObject Type="Embed" ProgID="Equation.KSEE3" ShapeID="_x0000_i1036" DrawAspect="Content" ObjectID="_1468075736" r:id="rId44">
            <o:LockedField>false</o:LockedField>
          </o:OLEObject>
        </w:object>
      </w:r>
      <w:r>
        <w:rPr>
          <w:rFonts w:hint="eastAsia" w:ascii="Times New Roman" w:hAnsi="Times New Roman" w:cs="Times New Roman"/>
          <w:bCs/>
          <w:i/>
          <w:iCs/>
          <w:color w:val="000000"/>
          <w:position w:val="-8"/>
          <w:sz w:val="21"/>
          <w:szCs w:val="21"/>
          <w:lang w:val="en-US" w:eastAsia="zh-CN"/>
        </w:rPr>
        <w:t xml:space="preserve">  </w:t>
      </w:r>
      <w:r>
        <w:rPr>
          <w:rFonts w:hint="default" w:ascii="Times New Roman" w:hAnsi="Times New Roman" w:eastAsia="宋体" w:cs="Times New Roman"/>
          <w:bCs/>
          <w:color w:val="000000"/>
          <w:sz w:val="21"/>
          <w:szCs w:val="21"/>
        </w:rPr>
        <w:t>—平行子样</w:t>
      </w:r>
      <w:r>
        <w:rPr>
          <w:rFonts w:hint="default" w:ascii="Times New Roman" w:hAnsi="Times New Roman" w:eastAsia="宋体" w:cs="Times New Roman"/>
          <w:bCs/>
          <w:i/>
          <w:iCs/>
          <w:color w:val="000000"/>
          <w:sz w:val="21"/>
          <w:szCs w:val="21"/>
        </w:rPr>
        <w:t>k</w:t>
      </w:r>
      <w:r>
        <w:rPr>
          <w:rFonts w:hint="default" w:ascii="Times New Roman" w:hAnsi="Times New Roman" w:eastAsia="宋体" w:cs="Times New Roman"/>
          <w:bCs/>
          <w:iCs/>
          <w:color w:val="000000"/>
          <w:sz w:val="21"/>
          <w:szCs w:val="21"/>
        </w:rPr>
        <w:t>各重复</w:t>
      </w:r>
      <w:r>
        <w:rPr>
          <w:rFonts w:hint="default" w:ascii="Times New Roman" w:hAnsi="Times New Roman" w:eastAsia="宋体" w:cs="Times New Roman"/>
          <w:sz w:val="21"/>
          <w:szCs w:val="21"/>
        </w:rPr>
        <w:t>抗虫耐除草剂玉米</w:t>
      </w:r>
      <w:r>
        <w:rPr>
          <w:rFonts w:hint="eastAsia" w:cs="Times New Roman"/>
          <w:sz w:val="21"/>
          <w:szCs w:val="21"/>
          <w:lang w:eastAsia="zh-CN"/>
        </w:rPr>
        <w:t>QY2569-42</w:t>
      </w:r>
      <w:r>
        <w:rPr>
          <w:rFonts w:hint="default" w:ascii="Times New Roman" w:hAnsi="Times New Roman" w:eastAsia="宋体" w:cs="Times New Roman"/>
          <w:bCs/>
          <w:color w:val="000000"/>
          <w:sz w:val="21"/>
          <w:szCs w:val="21"/>
        </w:rPr>
        <w:t>转化体特异性序列拷贝数平均值</w:t>
      </w:r>
      <w:r>
        <w:rPr>
          <w:rFonts w:hint="eastAsia" w:ascii="Times New Roman" w:hAnsi="Times New Roman" w:cs="Times New Roman"/>
          <w:bCs/>
          <w:color w:val="000000"/>
          <w:sz w:val="21"/>
          <w:szCs w:val="21"/>
          <w:lang w:eastAsia="zh-CN"/>
        </w:rPr>
        <w:t>；</w:t>
      </w:r>
    </w:p>
    <w:p w14:paraId="36F1903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Style w:val="21"/>
          <w:rFonts w:hint="default" w:ascii="Times New Roman" w:hAnsi="Times New Roman" w:eastAsia="宋体" w:cs="Times New Roman"/>
          <w:sz w:val="21"/>
          <w:szCs w:val="21"/>
        </w:rPr>
      </w:pPr>
      <w:r>
        <w:rPr>
          <w:rFonts w:hint="default" w:ascii="Times New Roman" w:hAnsi="Times New Roman" w:eastAsia="宋体" w:cs="Times New Roman"/>
          <w:bCs/>
          <w:i/>
          <w:iCs/>
          <w:color w:val="000000"/>
          <w:position w:val="-8"/>
          <w:sz w:val="21"/>
          <w:szCs w:val="21"/>
        </w:rPr>
        <w:drawing>
          <wp:inline distT="0" distB="0" distL="114300" distR="114300">
            <wp:extent cx="241300" cy="228600"/>
            <wp:effectExtent l="0" t="0" r="0" b="0"/>
            <wp:docPr id="1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8"/>
                    <pic:cNvPicPr>
                      <a:picLocks noChangeAspect="1"/>
                    </pic:cNvPicPr>
                  </pic:nvPicPr>
                  <pic:blipFill>
                    <a:blip r:embed="rId46">
                      <a:lum/>
                    </a:blip>
                    <a:stretch>
                      <a:fillRect/>
                    </a:stretch>
                  </pic:blipFill>
                  <pic:spPr>
                    <a:xfrm>
                      <a:off x="0" y="0"/>
                      <a:ext cx="241300" cy="228600"/>
                    </a:xfrm>
                    <a:prstGeom prst="rect">
                      <a:avLst/>
                    </a:prstGeom>
                    <a:noFill/>
                    <a:ln>
                      <a:noFill/>
                    </a:ln>
                  </pic:spPr>
                </pic:pic>
              </a:graphicData>
            </a:graphic>
          </wp:inline>
        </w:drawing>
      </w:r>
      <w:r>
        <w:rPr>
          <w:rFonts w:hint="eastAsia" w:ascii="Times New Roman" w:hAnsi="Times New Roman" w:cs="Times New Roman"/>
          <w:bCs/>
          <w:i/>
          <w:iCs/>
          <w:color w:val="000000"/>
          <w:position w:val="-8"/>
          <w:sz w:val="21"/>
          <w:szCs w:val="21"/>
          <w:lang w:val="en-US" w:eastAsia="zh-CN"/>
        </w:rPr>
        <w:t xml:space="preserve">  </w:t>
      </w:r>
      <w:r>
        <w:rPr>
          <w:rFonts w:hint="default" w:ascii="Times New Roman" w:hAnsi="Times New Roman" w:eastAsia="宋体" w:cs="Times New Roman"/>
          <w:bCs/>
          <w:color w:val="000000"/>
          <w:sz w:val="21"/>
          <w:szCs w:val="21"/>
        </w:rPr>
        <w:t>—平行子样</w:t>
      </w:r>
      <w:r>
        <w:rPr>
          <w:rFonts w:hint="default" w:ascii="Times New Roman" w:hAnsi="Times New Roman" w:eastAsia="宋体" w:cs="Times New Roman"/>
          <w:bCs/>
          <w:i/>
          <w:iCs/>
          <w:color w:val="000000"/>
          <w:sz w:val="21"/>
          <w:szCs w:val="21"/>
        </w:rPr>
        <w:t>k</w:t>
      </w:r>
      <w:r>
        <w:rPr>
          <w:rFonts w:hint="default" w:ascii="Times New Roman" w:hAnsi="Times New Roman" w:eastAsia="宋体" w:cs="Times New Roman"/>
          <w:bCs/>
          <w:iCs/>
          <w:color w:val="000000"/>
          <w:sz w:val="21"/>
          <w:szCs w:val="21"/>
        </w:rPr>
        <w:t>各重复</w:t>
      </w:r>
      <w:r>
        <w:rPr>
          <w:rFonts w:hint="default" w:ascii="Times New Roman" w:hAnsi="Times New Roman" w:eastAsia="宋体" w:cs="Times New Roman"/>
          <w:bCs/>
          <w:color w:val="000000"/>
          <w:sz w:val="21"/>
          <w:szCs w:val="21"/>
        </w:rPr>
        <w:t>玉米内标准基因</w:t>
      </w:r>
      <w:r>
        <w:rPr>
          <w:rFonts w:hint="default" w:ascii="Times New Roman" w:hAnsi="Times New Roman" w:eastAsia="宋体" w:cs="Times New Roman"/>
          <w:i/>
          <w:iCs/>
          <w:color w:val="000000"/>
          <w:kern w:val="0"/>
          <w:sz w:val="21"/>
          <w:szCs w:val="21"/>
        </w:rPr>
        <w:t>zSSIIb</w:t>
      </w:r>
      <w:r>
        <w:rPr>
          <w:rFonts w:hint="default" w:ascii="Times New Roman" w:hAnsi="Times New Roman" w:eastAsia="宋体" w:cs="Times New Roman"/>
          <w:bCs/>
          <w:color w:val="000000"/>
          <w:sz w:val="21"/>
          <w:szCs w:val="21"/>
        </w:rPr>
        <w:t>拷贝数平均值。</w:t>
      </w:r>
    </w:p>
    <w:p w14:paraId="58331C7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每个样品设3个平行子样、每个子样重复3次PCR。按照上述公式，计算每个含量样品各平行子样的拷贝数比值，统计汇总见表</w:t>
      </w:r>
      <w:r>
        <w:rPr>
          <w:rFonts w:hint="eastAsia" w:cs="Times New Roman"/>
          <w:sz w:val="21"/>
          <w:szCs w:val="21"/>
          <w:lang w:val="en-US" w:eastAsia="zh-CN"/>
        </w:rPr>
        <w:t>2-13</w:t>
      </w:r>
      <w:r>
        <w:rPr>
          <w:rFonts w:hint="default" w:ascii="Times New Roman" w:hAnsi="Times New Roman" w:eastAsia="宋体" w:cs="Times New Roman"/>
          <w:sz w:val="21"/>
          <w:szCs w:val="21"/>
        </w:rPr>
        <w:t>、表</w:t>
      </w:r>
      <w:r>
        <w:rPr>
          <w:rFonts w:hint="eastAsia" w:cs="Times New Roman"/>
          <w:sz w:val="21"/>
          <w:szCs w:val="21"/>
          <w:lang w:val="en-US" w:eastAsia="zh-CN"/>
        </w:rPr>
        <w:t>2-14</w:t>
      </w:r>
      <w:r>
        <w:rPr>
          <w:rFonts w:hint="default" w:ascii="Times New Roman" w:hAnsi="Times New Roman" w:eastAsia="宋体" w:cs="Times New Roman"/>
          <w:sz w:val="21"/>
          <w:szCs w:val="21"/>
        </w:rPr>
        <w:t>和表</w:t>
      </w:r>
      <w:r>
        <w:rPr>
          <w:rFonts w:hint="eastAsia" w:cs="Times New Roman"/>
          <w:sz w:val="21"/>
          <w:szCs w:val="21"/>
          <w:lang w:val="en-US" w:eastAsia="zh-CN"/>
        </w:rPr>
        <w:t>2-15</w:t>
      </w:r>
      <w:r>
        <w:rPr>
          <w:rFonts w:hint="default" w:ascii="Times New Roman" w:hAnsi="Times New Roman" w:eastAsia="宋体" w:cs="Times New Roman"/>
          <w:sz w:val="21"/>
          <w:szCs w:val="21"/>
        </w:rPr>
        <w:t>。</w:t>
      </w:r>
    </w:p>
    <w:p w14:paraId="03BC78C9">
      <w:pPr>
        <w:rPr>
          <w:rFonts w:hint="default" w:ascii="Times New Roman" w:hAnsi="Times New Roman" w:eastAsia="宋体" w:cs="Times New Roman"/>
          <w:sz w:val="21"/>
          <w:szCs w:val="21"/>
        </w:rPr>
      </w:pPr>
    </w:p>
    <w:p w14:paraId="07EBBCED">
      <w:pPr>
        <w:jc w:val="center"/>
        <w:rPr>
          <w:rFonts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2-13</w:t>
      </w:r>
      <w:r>
        <w:rPr>
          <w:rFonts w:ascii="Times New Roman" w:hAnsi="Times New Roman" w:eastAsia="黑体" w:cs="Calibri"/>
          <w:kern w:val="2"/>
          <w:sz w:val="18"/>
          <w:szCs w:val="22"/>
          <w:lang w:val="en-US" w:eastAsia="zh-CN" w:bidi="ar-SA"/>
        </w:rPr>
        <w:t xml:space="preserve"> 试样检测数据汇总统计（</w:t>
      </w:r>
      <w:r>
        <w:rPr>
          <w:rFonts w:ascii="Times New Roman" w:hAnsi="Times New Roman" w:eastAsia="黑体" w:cs="Calibri"/>
          <w:i/>
          <w:iCs/>
          <w:kern w:val="2"/>
          <w:sz w:val="18"/>
          <w:szCs w:val="22"/>
          <w:lang w:val="en-US" w:eastAsia="zh-CN" w:bidi="ar-SA"/>
        </w:rPr>
        <w:t>zSSIIb</w:t>
      </w:r>
      <w:r>
        <w:rPr>
          <w:rFonts w:ascii="Times New Roman" w:hAnsi="Times New Roman" w:eastAsia="黑体" w:cs="Calibri"/>
          <w:kern w:val="2"/>
          <w:sz w:val="18"/>
          <w:szCs w:val="22"/>
          <w:lang w:val="en-US" w:eastAsia="zh-CN" w:bidi="ar-SA"/>
        </w:rPr>
        <w:t>基因）</w:t>
      </w:r>
    </w:p>
    <w:tbl>
      <w:tblPr>
        <w:tblStyle w:val="16"/>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874"/>
        <w:gridCol w:w="727"/>
        <w:gridCol w:w="795"/>
        <w:gridCol w:w="795"/>
        <w:gridCol w:w="795"/>
        <w:gridCol w:w="795"/>
        <w:gridCol w:w="797"/>
        <w:gridCol w:w="795"/>
        <w:gridCol w:w="795"/>
        <w:gridCol w:w="799"/>
      </w:tblGrid>
      <w:tr w14:paraId="3038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vMerge w:val="restart"/>
            <w:shd w:val="clear" w:color="auto" w:fill="auto"/>
            <w:vAlign w:val="center"/>
          </w:tcPr>
          <w:p w14:paraId="3171DF7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样品名称/编号</w:t>
            </w:r>
          </w:p>
        </w:tc>
        <w:tc>
          <w:tcPr>
            <w:tcW w:w="7093" w:type="dxa"/>
            <w:gridSpan w:val="9"/>
            <w:shd w:val="clear" w:color="auto" w:fill="auto"/>
            <w:vAlign w:val="center"/>
          </w:tcPr>
          <w:p w14:paraId="368B649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内标准基因</w:t>
            </w:r>
            <w:r>
              <w:rPr>
                <w:rFonts w:hint="default" w:ascii="Times New Roman" w:hAnsi="Times New Roman" w:eastAsia="宋体" w:cs="Times New Roman"/>
                <w:b/>
                <w:bCs/>
                <w:i/>
                <w:iCs/>
                <w:sz w:val="18"/>
                <w:szCs w:val="18"/>
              </w:rPr>
              <w:t>zSSIIb Ct</w:t>
            </w:r>
            <w:r>
              <w:rPr>
                <w:rFonts w:hint="default" w:ascii="Times New Roman" w:hAnsi="Times New Roman" w:eastAsia="宋体" w:cs="Times New Roman"/>
                <w:b/>
                <w:bCs/>
                <w:sz w:val="18"/>
                <w:szCs w:val="18"/>
              </w:rPr>
              <w:t>值</w:t>
            </w:r>
          </w:p>
        </w:tc>
      </w:tr>
      <w:tr w14:paraId="5D15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vMerge w:val="continue"/>
            <w:shd w:val="clear" w:color="auto" w:fill="auto"/>
            <w:vAlign w:val="center"/>
          </w:tcPr>
          <w:p w14:paraId="17E56A2A">
            <w:pPr>
              <w:jc w:val="center"/>
              <w:rPr>
                <w:rFonts w:hint="default" w:ascii="Times New Roman" w:hAnsi="Times New Roman" w:eastAsia="宋体" w:cs="Times New Roman"/>
                <w:b/>
                <w:bCs/>
                <w:sz w:val="18"/>
                <w:szCs w:val="18"/>
              </w:rPr>
            </w:pPr>
          </w:p>
        </w:tc>
        <w:tc>
          <w:tcPr>
            <w:tcW w:w="2317" w:type="dxa"/>
            <w:gridSpan w:val="3"/>
            <w:shd w:val="clear" w:color="auto" w:fill="auto"/>
            <w:vAlign w:val="center"/>
          </w:tcPr>
          <w:p w14:paraId="24B226F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重复1</w:t>
            </w:r>
          </w:p>
        </w:tc>
        <w:tc>
          <w:tcPr>
            <w:tcW w:w="2387" w:type="dxa"/>
            <w:gridSpan w:val="3"/>
            <w:shd w:val="clear" w:color="auto" w:fill="auto"/>
            <w:vAlign w:val="center"/>
          </w:tcPr>
          <w:p w14:paraId="16AF27C2">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重复2</w:t>
            </w:r>
          </w:p>
        </w:tc>
        <w:tc>
          <w:tcPr>
            <w:tcW w:w="2389" w:type="dxa"/>
            <w:gridSpan w:val="3"/>
            <w:shd w:val="clear" w:color="auto" w:fill="auto"/>
            <w:vAlign w:val="center"/>
          </w:tcPr>
          <w:p w14:paraId="64A353F7">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重复3</w:t>
            </w:r>
          </w:p>
        </w:tc>
      </w:tr>
      <w:tr w14:paraId="0588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vMerge w:val="continue"/>
            <w:shd w:val="clear" w:color="auto" w:fill="auto"/>
            <w:vAlign w:val="center"/>
          </w:tcPr>
          <w:p w14:paraId="72A3C9D2">
            <w:pPr>
              <w:jc w:val="center"/>
              <w:rPr>
                <w:rFonts w:hint="default" w:ascii="Times New Roman" w:hAnsi="Times New Roman" w:eastAsia="宋体" w:cs="Times New Roman"/>
                <w:sz w:val="18"/>
                <w:szCs w:val="18"/>
              </w:rPr>
            </w:pPr>
          </w:p>
        </w:tc>
        <w:tc>
          <w:tcPr>
            <w:tcW w:w="727" w:type="dxa"/>
            <w:shd w:val="clear" w:color="auto" w:fill="auto"/>
            <w:vAlign w:val="center"/>
          </w:tcPr>
          <w:p w14:paraId="461B54FC">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795" w:type="dxa"/>
            <w:shd w:val="clear" w:color="auto" w:fill="auto"/>
            <w:vAlign w:val="center"/>
          </w:tcPr>
          <w:p w14:paraId="0B9365A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795" w:type="dxa"/>
            <w:shd w:val="clear" w:color="auto" w:fill="auto"/>
            <w:vAlign w:val="center"/>
          </w:tcPr>
          <w:p w14:paraId="6381627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c>
          <w:tcPr>
            <w:tcW w:w="795" w:type="dxa"/>
            <w:shd w:val="clear" w:color="auto" w:fill="auto"/>
            <w:vAlign w:val="center"/>
          </w:tcPr>
          <w:p w14:paraId="07896DD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795" w:type="dxa"/>
            <w:shd w:val="clear" w:color="auto" w:fill="auto"/>
            <w:vAlign w:val="center"/>
          </w:tcPr>
          <w:p w14:paraId="4B1CAB3F">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797" w:type="dxa"/>
            <w:shd w:val="clear" w:color="auto" w:fill="auto"/>
            <w:vAlign w:val="center"/>
          </w:tcPr>
          <w:p w14:paraId="3F18C8D3">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c>
          <w:tcPr>
            <w:tcW w:w="795" w:type="dxa"/>
            <w:shd w:val="clear" w:color="auto" w:fill="auto"/>
            <w:vAlign w:val="center"/>
          </w:tcPr>
          <w:p w14:paraId="7DFFCB5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795" w:type="dxa"/>
            <w:shd w:val="clear" w:color="auto" w:fill="auto"/>
            <w:vAlign w:val="center"/>
          </w:tcPr>
          <w:p w14:paraId="4FC9479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799" w:type="dxa"/>
            <w:shd w:val="clear" w:color="auto" w:fill="auto"/>
            <w:vAlign w:val="center"/>
          </w:tcPr>
          <w:p w14:paraId="5DECB9D0">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r>
      <w:tr w14:paraId="3E0B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4929FF0F">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S1（40000拷贝）</w:t>
            </w:r>
          </w:p>
        </w:tc>
        <w:tc>
          <w:tcPr>
            <w:tcW w:w="727" w:type="dxa"/>
            <w:shd w:val="clear" w:color="auto" w:fill="auto"/>
            <w:vAlign w:val="center"/>
          </w:tcPr>
          <w:p w14:paraId="7D9EBE8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23.794</w:t>
            </w:r>
          </w:p>
        </w:tc>
        <w:tc>
          <w:tcPr>
            <w:tcW w:w="795" w:type="dxa"/>
            <w:shd w:val="clear" w:color="auto" w:fill="auto"/>
            <w:vAlign w:val="center"/>
          </w:tcPr>
          <w:p w14:paraId="3DEA42C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23.777</w:t>
            </w:r>
          </w:p>
        </w:tc>
        <w:tc>
          <w:tcPr>
            <w:tcW w:w="795" w:type="dxa"/>
            <w:shd w:val="clear" w:color="auto" w:fill="auto"/>
            <w:vAlign w:val="center"/>
          </w:tcPr>
          <w:p w14:paraId="4A10C0F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23.704</w:t>
            </w:r>
          </w:p>
        </w:tc>
        <w:tc>
          <w:tcPr>
            <w:tcW w:w="795" w:type="dxa"/>
            <w:shd w:val="clear" w:color="auto" w:fill="auto"/>
            <w:vAlign w:val="center"/>
          </w:tcPr>
          <w:p w14:paraId="10802CE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23.430</w:t>
            </w:r>
          </w:p>
        </w:tc>
        <w:tc>
          <w:tcPr>
            <w:tcW w:w="795" w:type="dxa"/>
            <w:shd w:val="clear" w:color="auto" w:fill="auto"/>
            <w:vAlign w:val="center"/>
          </w:tcPr>
          <w:p w14:paraId="7099864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23.433</w:t>
            </w:r>
          </w:p>
        </w:tc>
        <w:tc>
          <w:tcPr>
            <w:tcW w:w="797" w:type="dxa"/>
            <w:shd w:val="clear" w:color="auto" w:fill="auto"/>
            <w:vAlign w:val="center"/>
          </w:tcPr>
          <w:p w14:paraId="549B426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23.438</w:t>
            </w:r>
          </w:p>
        </w:tc>
        <w:tc>
          <w:tcPr>
            <w:tcW w:w="795" w:type="dxa"/>
            <w:shd w:val="clear" w:color="auto" w:fill="auto"/>
            <w:vAlign w:val="center"/>
          </w:tcPr>
          <w:p w14:paraId="37217A2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23.622</w:t>
            </w:r>
          </w:p>
        </w:tc>
        <w:tc>
          <w:tcPr>
            <w:tcW w:w="795" w:type="dxa"/>
            <w:shd w:val="clear" w:color="auto" w:fill="auto"/>
            <w:vAlign w:val="center"/>
          </w:tcPr>
          <w:p w14:paraId="1C52F31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23.573</w:t>
            </w:r>
          </w:p>
        </w:tc>
        <w:tc>
          <w:tcPr>
            <w:tcW w:w="799" w:type="dxa"/>
            <w:shd w:val="clear" w:color="auto" w:fill="auto"/>
            <w:vAlign w:val="center"/>
          </w:tcPr>
          <w:p w14:paraId="29C6C7D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23.560</w:t>
            </w:r>
          </w:p>
        </w:tc>
      </w:tr>
      <w:tr w14:paraId="696B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0524F600">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S2（6667拷贝）</w:t>
            </w:r>
          </w:p>
        </w:tc>
        <w:tc>
          <w:tcPr>
            <w:tcW w:w="727" w:type="dxa"/>
            <w:shd w:val="clear" w:color="auto" w:fill="auto"/>
            <w:vAlign w:val="center"/>
          </w:tcPr>
          <w:p w14:paraId="0885AF5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26.182</w:t>
            </w:r>
          </w:p>
        </w:tc>
        <w:tc>
          <w:tcPr>
            <w:tcW w:w="795" w:type="dxa"/>
            <w:shd w:val="clear" w:color="auto" w:fill="auto"/>
            <w:vAlign w:val="center"/>
          </w:tcPr>
          <w:p w14:paraId="31AF181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26.255</w:t>
            </w:r>
          </w:p>
        </w:tc>
        <w:tc>
          <w:tcPr>
            <w:tcW w:w="795" w:type="dxa"/>
            <w:shd w:val="clear" w:color="auto" w:fill="auto"/>
            <w:vAlign w:val="center"/>
          </w:tcPr>
          <w:p w14:paraId="214D727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26.161</w:t>
            </w:r>
          </w:p>
        </w:tc>
        <w:tc>
          <w:tcPr>
            <w:tcW w:w="795" w:type="dxa"/>
            <w:shd w:val="clear" w:color="auto" w:fill="auto"/>
            <w:vAlign w:val="center"/>
          </w:tcPr>
          <w:p w14:paraId="6009CA1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25.884</w:t>
            </w:r>
          </w:p>
        </w:tc>
        <w:tc>
          <w:tcPr>
            <w:tcW w:w="795" w:type="dxa"/>
            <w:shd w:val="clear" w:color="auto" w:fill="auto"/>
            <w:vAlign w:val="center"/>
          </w:tcPr>
          <w:p w14:paraId="0B456A8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25.822</w:t>
            </w:r>
          </w:p>
        </w:tc>
        <w:tc>
          <w:tcPr>
            <w:tcW w:w="797" w:type="dxa"/>
            <w:shd w:val="clear" w:color="auto" w:fill="auto"/>
            <w:vAlign w:val="center"/>
          </w:tcPr>
          <w:p w14:paraId="22BA28D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25.763</w:t>
            </w:r>
          </w:p>
        </w:tc>
        <w:tc>
          <w:tcPr>
            <w:tcW w:w="795" w:type="dxa"/>
            <w:shd w:val="clear" w:color="auto" w:fill="auto"/>
            <w:vAlign w:val="center"/>
          </w:tcPr>
          <w:p w14:paraId="7BFB59A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26.051</w:t>
            </w:r>
          </w:p>
        </w:tc>
        <w:tc>
          <w:tcPr>
            <w:tcW w:w="795" w:type="dxa"/>
            <w:shd w:val="clear" w:color="auto" w:fill="auto"/>
            <w:vAlign w:val="center"/>
          </w:tcPr>
          <w:p w14:paraId="4A896CE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25.968</w:t>
            </w:r>
          </w:p>
        </w:tc>
        <w:tc>
          <w:tcPr>
            <w:tcW w:w="799" w:type="dxa"/>
            <w:shd w:val="clear" w:color="auto" w:fill="auto"/>
            <w:vAlign w:val="center"/>
          </w:tcPr>
          <w:p w14:paraId="2788056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25.995</w:t>
            </w:r>
          </w:p>
        </w:tc>
      </w:tr>
      <w:tr w14:paraId="5AF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7B8C5282">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S3（1111拷贝）</w:t>
            </w:r>
          </w:p>
        </w:tc>
        <w:tc>
          <w:tcPr>
            <w:tcW w:w="727" w:type="dxa"/>
            <w:shd w:val="clear" w:color="auto" w:fill="auto"/>
            <w:vAlign w:val="center"/>
          </w:tcPr>
          <w:p w14:paraId="135B458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28.889</w:t>
            </w:r>
          </w:p>
        </w:tc>
        <w:tc>
          <w:tcPr>
            <w:tcW w:w="795" w:type="dxa"/>
            <w:shd w:val="clear" w:color="auto" w:fill="auto"/>
            <w:vAlign w:val="center"/>
          </w:tcPr>
          <w:p w14:paraId="6B40486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28.708</w:t>
            </w:r>
          </w:p>
        </w:tc>
        <w:tc>
          <w:tcPr>
            <w:tcW w:w="795" w:type="dxa"/>
            <w:shd w:val="clear" w:color="auto" w:fill="auto"/>
            <w:vAlign w:val="center"/>
          </w:tcPr>
          <w:p w14:paraId="36D3606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28.833</w:t>
            </w:r>
          </w:p>
        </w:tc>
        <w:tc>
          <w:tcPr>
            <w:tcW w:w="795" w:type="dxa"/>
            <w:shd w:val="clear" w:color="auto" w:fill="auto"/>
            <w:vAlign w:val="center"/>
          </w:tcPr>
          <w:p w14:paraId="4BF356D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28.418</w:t>
            </w:r>
          </w:p>
        </w:tc>
        <w:tc>
          <w:tcPr>
            <w:tcW w:w="795" w:type="dxa"/>
            <w:shd w:val="clear" w:color="auto" w:fill="auto"/>
            <w:vAlign w:val="center"/>
          </w:tcPr>
          <w:p w14:paraId="0053A51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28.423</w:t>
            </w:r>
          </w:p>
        </w:tc>
        <w:tc>
          <w:tcPr>
            <w:tcW w:w="797" w:type="dxa"/>
            <w:shd w:val="clear" w:color="auto" w:fill="auto"/>
            <w:vAlign w:val="center"/>
          </w:tcPr>
          <w:p w14:paraId="2020B1D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28.397</w:t>
            </w:r>
          </w:p>
        </w:tc>
        <w:tc>
          <w:tcPr>
            <w:tcW w:w="795" w:type="dxa"/>
            <w:shd w:val="clear" w:color="auto" w:fill="auto"/>
            <w:vAlign w:val="center"/>
          </w:tcPr>
          <w:p w14:paraId="2452FE6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28.651</w:t>
            </w:r>
          </w:p>
        </w:tc>
        <w:tc>
          <w:tcPr>
            <w:tcW w:w="795" w:type="dxa"/>
            <w:shd w:val="clear" w:color="auto" w:fill="auto"/>
            <w:vAlign w:val="center"/>
          </w:tcPr>
          <w:p w14:paraId="38108FD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28.608</w:t>
            </w:r>
          </w:p>
        </w:tc>
        <w:tc>
          <w:tcPr>
            <w:tcW w:w="799" w:type="dxa"/>
            <w:shd w:val="clear" w:color="auto" w:fill="auto"/>
            <w:vAlign w:val="center"/>
          </w:tcPr>
          <w:p w14:paraId="1402022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28.630</w:t>
            </w:r>
          </w:p>
        </w:tc>
      </w:tr>
      <w:tr w14:paraId="72B8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24AF24E0">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S4</w:t>
            </w:r>
          </w:p>
          <w:p w14:paraId="3549D7E1">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（185拷贝）</w:t>
            </w:r>
          </w:p>
        </w:tc>
        <w:tc>
          <w:tcPr>
            <w:tcW w:w="727" w:type="dxa"/>
            <w:shd w:val="clear" w:color="auto" w:fill="auto"/>
            <w:vAlign w:val="center"/>
          </w:tcPr>
          <w:p w14:paraId="250C7C5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31.702</w:t>
            </w:r>
          </w:p>
        </w:tc>
        <w:tc>
          <w:tcPr>
            <w:tcW w:w="795" w:type="dxa"/>
            <w:shd w:val="clear" w:color="auto" w:fill="auto"/>
            <w:vAlign w:val="center"/>
          </w:tcPr>
          <w:p w14:paraId="6865335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31.549</w:t>
            </w:r>
          </w:p>
        </w:tc>
        <w:tc>
          <w:tcPr>
            <w:tcW w:w="795" w:type="dxa"/>
            <w:shd w:val="clear" w:color="auto" w:fill="auto"/>
            <w:vAlign w:val="center"/>
          </w:tcPr>
          <w:p w14:paraId="0DC5B85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31.556</w:t>
            </w:r>
          </w:p>
        </w:tc>
        <w:tc>
          <w:tcPr>
            <w:tcW w:w="795" w:type="dxa"/>
            <w:shd w:val="clear" w:color="auto" w:fill="auto"/>
            <w:vAlign w:val="center"/>
          </w:tcPr>
          <w:p w14:paraId="2C655FB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31.184</w:t>
            </w:r>
          </w:p>
        </w:tc>
        <w:tc>
          <w:tcPr>
            <w:tcW w:w="795" w:type="dxa"/>
            <w:shd w:val="clear" w:color="auto" w:fill="auto"/>
            <w:vAlign w:val="center"/>
          </w:tcPr>
          <w:p w14:paraId="266C74B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31.174</w:t>
            </w:r>
          </w:p>
        </w:tc>
        <w:tc>
          <w:tcPr>
            <w:tcW w:w="797" w:type="dxa"/>
            <w:shd w:val="clear" w:color="auto" w:fill="auto"/>
            <w:vAlign w:val="center"/>
          </w:tcPr>
          <w:p w14:paraId="7CD3140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31.330</w:t>
            </w:r>
          </w:p>
        </w:tc>
        <w:tc>
          <w:tcPr>
            <w:tcW w:w="795" w:type="dxa"/>
            <w:shd w:val="clear" w:color="auto" w:fill="auto"/>
            <w:vAlign w:val="center"/>
          </w:tcPr>
          <w:p w14:paraId="42A40E9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31.635</w:t>
            </w:r>
          </w:p>
        </w:tc>
        <w:tc>
          <w:tcPr>
            <w:tcW w:w="795" w:type="dxa"/>
            <w:shd w:val="clear" w:color="auto" w:fill="auto"/>
            <w:vAlign w:val="center"/>
          </w:tcPr>
          <w:p w14:paraId="5BB78C1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31.615</w:t>
            </w:r>
          </w:p>
        </w:tc>
        <w:tc>
          <w:tcPr>
            <w:tcW w:w="799" w:type="dxa"/>
            <w:shd w:val="clear" w:color="auto" w:fill="auto"/>
            <w:vAlign w:val="center"/>
          </w:tcPr>
          <w:p w14:paraId="1150761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31.647</w:t>
            </w:r>
          </w:p>
        </w:tc>
      </w:tr>
      <w:tr w14:paraId="6829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67B17F2E">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S5</w:t>
            </w:r>
          </w:p>
          <w:p w14:paraId="07B91534">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r>
              <w:rPr>
                <w:rFonts w:hint="default" w:ascii="Times New Roman" w:hAnsi="Times New Roman" w:eastAsia="宋体" w:cs="Times New Roman"/>
                <w:sz w:val="18"/>
                <w:szCs w:val="18"/>
                <w:highlight w:val="none"/>
                <w:lang w:val="en-US" w:eastAsia="zh-CN"/>
              </w:rPr>
              <w:t>31</w:t>
            </w:r>
            <w:r>
              <w:rPr>
                <w:rFonts w:hint="default" w:ascii="Times New Roman" w:hAnsi="Times New Roman" w:eastAsia="宋体" w:cs="Times New Roman"/>
                <w:sz w:val="18"/>
                <w:szCs w:val="18"/>
                <w:highlight w:val="none"/>
              </w:rPr>
              <w:t>拷贝）</w:t>
            </w:r>
          </w:p>
        </w:tc>
        <w:tc>
          <w:tcPr>
            <w:tcW w:w="727" w:type="dxa"/>
            <w:shd w:val="clear" w:color="auto" w:fill="auto"/>
            <w:vAlign w:val="center"/>
          </w:tcPr>
          <w:p w14:paraId="214E13F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34.246</w:t>
            </w:r>
          </w:p>
        </w:tc>
        <w:tc>
          <w:tcPr>
            <w:tcW w:w="795" w:type="dxa"/>
            <w:shd w:val="clear" w:color="auto" w:fill="auto"/>
            <w:vAlign w:val="center"/>
          </w:tcPr>
          <w:p w14:paraId="743AC7E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34.697</w:t>
            </w:r>
          </w:p>
        </w:tc>
        <w:tc>
          <w:tcPr>
            <w:tcW w:w="795" w:type="dxa"/>
            <w:shd w:val="clear" w:color="auto" w:fill="auto"/>
            <w:vAlign w:val="center"/>
          </w:tcPr>
          <w:p w14:paraId="2249525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34.355</w:t>
            </w:r>
          </w:p>
        </w:tc>
        <w:tc>
          <w:tcPr>
            <w:tcW w:w="795" w:type="dxa"/>
            <w:shd w:val="clear" w:color="auto" w:fill="auto"/>
            <w:vAlign w:val="center"/>
          </w:tcPr>
          <w:p w14:paraId="5240956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34.583</w:t>
            </w:r>
          </w:p>
        </w:tc>
        <w:tc>
          <w:tcPr>
            <w:tcW w:w="795" w:type="dxa"/>
            <w:shd w:val="clear" w:color="auto" w:fill="auto"/>
            <w:vAlign w:val="center"/>
          </w:tcPr>
          <w:p w14:paraId="20B6941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34.258</w:t>
            </w:r>
          </w:p>
        </w:tc>
        <w:tc>
          <w:tcPr>
            <w:tcW w:w="797" w:type="dxa"/>
            <w:shd w:val="clear" w:color="auto" w:fill="auto"/>
            <w:vAlign w:val="center"/>
          </w:tcPr>
          <w:p w14:paraId="5EB822F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34.104</w:t>
            </w:r>
          </w:p>
        </w:tc>
        <w:tc>
          <w:tcPr>
            <w:tcW w:w="795" w:type="dxa"/>
            <w:shd w:val="clear" w:color="auto" w:fill="auto"/>
            <w:vAlign w:val="center"/>
          </w:tcPr>
          <w:p w14:paraId="0E857B3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34.505</w:t>
            </w:r>
          </w:p>
        </w:tc>
        <w:tc>
          <w:tcPr>
            <w:tcW w:w="795" w:type="dxa"/>
            <w:shd w:val="clear" w:color="auto" w:fill="auto"/>
            <w:vAlign w:val="center"/>
          </w:tcPr>
          <w:p w14:paraId="72825C2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34.653</w:t>
            </w:r>
          </w:p>
        </w:tc>
        <w:tc>
          <w:tcPr>
            <w:tcW w:w="799" w:type="dxa"/>
            <w:shd w:val="clear" w:color="auto" w:fill="auto"/>
            <w:vAlign w:val="center"/>
          </w:tcPr>
          <w:p w14:paraId="28778DC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34.038</w:t>
            </w:r>
          </w:p>
        </w:tc>
      </w:tr>
      <w:tr w14:paraId="018C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restart"/>
            <w:shd w:val="clear" w:color="auto" w:fill="auto"/>
            <w:vAlign w:val="center"/>
          </w:tcPr>
          <w:p w14:paraId="030963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标准曲线</w:t>
            </w:r>
          </w:p>
        </w:tc>
        <w:tc>
          <w:tcPr>
            <w:tcW w:w="874" w:type="dxa"/>
            <w:shd w:val="clear" w:color="auto" w:fill="auto"/>
            <w:vAlign w:val="center"/>
          </w:tcPr>
          <w:p w14:paraId="6C4B36E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公式</w:t>
            </w:r>
          </w:p>
        </w:tc>
        <w:tc>
          <w:tcPr>
            <w:tcW w:w="2317" w:type="dxa"/>
            <w:gridSpan w:val="3"/>
            <w:shd w:val="clear" w:color="auto" w:fill="auto"/>
            <w:vAlign w:val="center"/>
          </w:tcPr>
          <w:p w14:paraId="2225FEDB">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rPr>
              <w:t>y=</w:t>
            </w:r>
            <w:r>
              <w:rPr>
                <w:rFonts w:hint="default" w:ascii="Times New Roman" w:hAnsi="Times New Roman" w:eastAsia="宋体" w:cs="Times New Roman"/>
                <w:b w:val="0"/>
                <w:bCs w:val="0"/>
                <w:color w:val="auto"/>
                <w:sz w:val="18"/>
                <w:szCs w:val="18"/>
                <w:highlight w:val="none"/>
                <w:lang w:val="en-US" w:eastAsia="zh-CN"/>
              </w:rPr>
              <w:t>-3.4</w:t>
            </w:r>
            <w:r>
              <w:rPr>
                <w:rFonts w:hint="default" w:ascii="Times New Roman" w:hAnsi="Times New Roman" w:cs="Times New Roman"/>
                <w:b w:val="0"/>
                <w:bCs w:val="0"/>
                <w:color w:val="auto"/>
                <w:sz w:val="18"/>
                <w:szCs w:val="18"/>
                <w:highlight w:val="none"/>
                <w:lang w:val="en-US" w:eastAsia="zh-CN"/>
              </w:rPr>
              <w:t>40</w:t>
            </w:r>
            <w:r>
              <w:rPr>
                <w:rFonts w:hint="default" w:ascii="Times New Roman" w:hAnsi="Times New Roman" w:eastAsia="宋体" w:cs="Times New Roman"/>
                <w:b w:val="0"/>
                <w:bCs w:val="0"/>
                <w:color w:val="auto"/>
                <w:sz w:val="18"/>
                <w:szCs w:val="18"/>
                <w:highlight w:val="none"/>
              </w:rPr>
              <w:t xml:space="preserve">x + </w:t>
            </w:r>
            <w:r>
              <w:rPr>
                <w:rFonts w:hint="default" w:ascii="Times New Roman" w:hAnsi="Times New Roman" w:eastAsia="宋体" w:cs="Times New Roman"/>
                <w:b w:val="0"/>
                <w:bCs w:val="0"/>
                <w:color w:val="auto"/>
                <w:sz w:val="18"/>
                <w:szCs w:val="18"/>
                <w:highlight w:val="none"/>
                <w:lang w:val="en-US" w:eastAsia="zh-CN"/>
              </w:rPr>
              <w:t>39.1</w:t>
            </w:r>
            <w:r>
              <w:rPr>
                <w:rFonts w:hint="default" w:ascii="Times New Roman" w:hAnsi="Times New Roman" w:cs="Times New Roman"/>
                <w:b w:val="0"/>
                <w:bCs w:val="0"/>
                <w:color w:val="auto"/>
                <w:sz w:val="18"/>
                <w:szCs w:val="18"/>
                <w:highlight w:val="none"/>
                <w:lang w:val="en-US" w:eastAsia="zh-CN"/>
              </w:rPr>
              <w:t>438</w:t>
            </w:r>
          </w:p>
        </w:tc>
        <w:tc>
          <w:tcPr>
            <w:tcW w:w="2387" w:type="dxa"/>
            <w:gridSpan w:val="3"/>
            <w:shd w:val="clear" w:color="auto" w:fill="auto"/>
            <w:vAlign w:val="center"/>
          </w:tcPr>
          <w:p w14:paraId="49F4ABE2">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y=-3.</w:t>
            </w:r>
            <w:r>
              <w:rPr>
                <w:rFonts w:hint="default" w:ascii="Times New Roman" w:hAnsi="Times New Roman" w:cs="Times New Roman"/>
                <w:b w:val="0"/>
                <w:bCs w:val="0"/>
                <w:color w:val="auto"/>
                <w:sz w:val="18"/>
                <w:szCs w:val="18"/>
                <w:highlight w:val="none"/>
                <w:lang w:val="en-US" w:eastAsia="zh-CN"/>
              </w:rPr>
              <w:t>493</w:t>
            </w:r>
            <w:r>
              <w:rPr>
                <w:rFonts w:hint="default" w:ascii="Times New Roman" w:hAnsi="Times New Roman" w:eastAsia="宋体" w:cs="Times New Roman"/>
                <w:b w:val="0"/>
                <w:bCs w:val="0"/>
                <w:color w:val="auto"/>
                <w:sz w:val="18"/>
                <w:szCs w:val="18"/>
                <w:highlight w:val="none"/>
                <w:lang w:val="en-US" w:eastAsia="zh-CN"/>
              </w:rPr>
              <w:t>x +3</w:t>
            </w:r>
            <w:r>
              <w:rPr>
                <w:rFonts w:hint="default" w:ascii="Times New Roman" w:hAnsi="Times New Roman" w:cs="Times New Roman"/>
                <w:b w:val="0"/>
                <w:bCs w:val="0"/>
                <w:color w:val="auto"/>
                <w:sz w:val="18"/>
                <w:szCs w:val="18"/>
                <w:highlight w:val="none"/>
                <w:lang w:val="en-US" w:eastAsia="zh-CN"/>
              </w:rPr>
              <w:t>9.283</w:t>
            </w:r>
          </w:p>
        </w:tc>
        <w:tc>
          <w:tcPr>
            <w:tcW w:w="2389" w:type="dxa"/>
            <w:gridSpan w:val="3"/>
            <w:shd w:val="clear" w:color="auto" w:fill="auto"/>
            <w:vAlign w:val="center"/>
          </w:tcPr>
          <w:p w14:paraId="1BFA15BA">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y=-3.</w:t>
            </w:r>
            <w:r>
              <w:rPr>
                <w:rFonts w:hint="default" w:ascii="Times New Roman" w:hAnsi="Times New Roman" w:cs="Times New Roman"/>
                <w:b w:val="0"/>
                <w:bCs w:val="0"/>
                <w:color w:val="auto"/>
                <w:sz w:val="18"/>
                <w:szCs w:val="18"/>
                <w:highlight w:val="none"/>
                <w:lang w:val="en-US" w:eastAsia="zh-CN"/>
              </w:rPr>
              <w:t>504</w:t>
            </w:r>
            <w:r>
              <w:rPr>
                <w:rFonts w:hint="default" w:ascii="Times New Roman" w:hAnsi="Times New Roman" w:eastAsia="宋体" w:cs="Times New Roman"/>
                <w:b w:val="0"/>
                <w:bCs w:val="0"/>
                <w:color w:val="auto"/>
                <w:sz w:val="18"/>
                <w:szCs w:val="18"/>
                <w:highlight w:val="none"/>
                <w:lang w:val="en-US" w:eastAsia="zh-CN"/>
              </w:rPr>
              <w:t>x + 3</w:t>
            </w:r>
            <w:r>
              <w:rPr>
                <w:rFonts w:hint="default" w:ascii="Times New Roman" w:hAnsi="Times New Roman" w:cs="Times New Roman"/>
                <w:b w:val="0"/>
                <w:bCs w:val="0"/>
                <w:color w:val="auto"/>
                <w:sz w:val="18"/>
                <w:szCs w:val="18"/>
                <w:highlight w:val="none"/>
                <w:lang w:val="en-US" w:eastAsia="zh-CN"/>
              </w:rPr>
              <w:t>9.525</w:t>
            </w:r>
          </w:p>
        </w:tc>
      </w:tr>
      <w:tr w14:paraId="4408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shd w:val="clear" w:color="auto" w:fill="auto"/>
            <w:vAlign w:val="center"/>
          </w:tcPr>
          <w:p w14:paraId="40D71912">
            <w:pPr>
              <w:jc w:val="center"/>
              <w:rPr>
                <w:rFonts w:hint="default" w:ascii="Times New Roman" w:hAnsi="Times New Roman" w:eastAsia="宋体" w:cs="Times New Roman"/>
                <w:sz w:val="18"/>
                <w:szCs w:val="18"/>
              </w:rPr>
            </w:pPr>
          </w:p>
        </w:tc>
        <w:tc>
          <w:tcPr>
            <w:tcW w:w="874" w:type="dxa"/>
            <w:shd w:val="clear" w:color="auto" w:fill="auto"/>
            <w:vAlign w:val="center"/>
          </w:tcPr>
          <w:p w14:paraId="04CE0C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R</w:t>
            </w:r>
            <w:r>
              <w:rPr>
                <w:rFonts w:hint="default" w:ascii="Times New Roman" w:hAnsi="Times New Roman" w:eastAsia="宋体" w:cs="Times New Roman"/>
                <w:sz w:val="18"/>
                <w:szCs w:val="18"/>
                <w:vertAlign w:val="superscript"/>
              </w:rPr>
              <w:t>2</w:t>
            </w:r>
          </w:p>
        </w:tc>
        <w:tc>
          <w:tcPr>
            <w:tcW w:w="2317" w:type="dxa"/>
            <w:gridSpan w:val="3"/>
            <w:shd w:val="clear" w:color="auto" w:fill="auto"/>
            <w:vAlign w:val="center"/>
          </w:tcPr>
          <w:p w14:paraId="36F79DF5">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0.99</w:t>
            </w:r>
            <w:r>
              <w:rPr>
                <w:rFonts w:hint="default" w:ascii="Times New Roman" w:hAnsi="Times New Roman" w:cs="Times New Roman"/>
                <w:b w:val="0"/>
                <w:bCs w:val="0"/>
                <w:color w:val="auto"/>
                <w:sz w:val="18"/>
                <w:szCs w:val="18"/>
                <w:highlight w:val="none"/>
                <w:lang w:val="en-US" w:eastAsia="zh-CN"/>
              </w:rPr>
              <w:t>8</w:t>
            </w:r>
          </w:p>
        </w:tc>
        <w:tc>
          <w:tcPr>
            <w:tcW w:w="2387" w:type="dxa"/>
            <w:gridSpan w:val="3"/>
            <w:shd w:val="clear" w:color="auto" w:fill="auto"/>
            <w:vAlign w:val="center"/>
          </w:tcPr>
          <w:p w14:paraId="7E72CD1A">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0.99</w:t>
            </w:r>
            <w:r>
              <w:rPr>
                <w:rFonts w:hint="default" w:ascii="Times New Roman" w:hAnsi="Times New Roman" w:cs="Times New Roman"/>
                <w:b w:val="0"/>
                <w:bCs w:val="0"/>
                <w:color w:val="auto"/>
                <w:sz w:val="18"/>
                <w:szCs w:val="18"/>
                <w:highlight w:val="none"/>
                <w:lang w:val="en-US" w:eastAsia="zh-CN"/>
              </w:rPr>
              <w:t>7</w:t>
            </w:r>
          </w:p>
        </w:tc>
        <w:tc>
          <w:tcPr>
            <w:tcW w:w="2389" w:type="dxa"/>
            <w:gridSpan w:val="3"/>
            <w:shd w:val="clear" w:color="auto" w:fill="auto"/>
            <w:vAlign w:val="center"/>
          </w:tcPr>
          <w:p w14:paraId="7792D076">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color w:val="auto"/>
                <w:sz w:val="18"/>
                <w:szCs w:val="18"/>
                <w:highlight w:val="none"/>
                <w:lang w:val="en-US" w:eastAsia="zh-CN"/>
              </w:rPr>
              <w:t>0.998</w:t>
            </w:r>
          </w:p>
        </w:tc>
      </w:tr>
      <w:tr w14:paraId="285A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shd w:val="clear" w:color="auto" w:fill="auto"/>
            <w:vAlign w:val="center"/>
          </w:tcPr>
          <w:p w14:paraId="48EF1CAA">
            <w:pPr>
              <w:jc w:val="center"/>
              <w:rPr>
                <w:rFonts w:hint="default" w:ascii="Times New Roman" w:hAnsi="Times New Roman" w:eastAsia="宋体" w:cs="Times New Roman"/>
                <w:sz w:val="18"/>
                <w:szCs w:val="18"/>
              </w:rPr>
            </w:pPr>
          </w:p>
        </w:tc>
        <w:tc>
          <w:tcPr>
            <w:tcW w:w="874" w:type="dxa"/>
            <w:shd w:val="clear" w:color="auto" w:fill="auto"/>
            <w:vAlign w:val="center"/>
          </w:tcPr>
          <w:p w14:paraId="6978DB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扩增效率</w:t>
            </w:r>
          </w:p>
        </w:tc>
        <w:tc>
          <w:tcPr>
            <w:tcW w:w="2317" w:type="dxa"/>
            <w:gridSpan w:val="3"/>
            <w:shd w:val="clear" w:color="auto" w:fill="auto"/>
            <w:vAlign w:val="center"/>
          </w:tcPr>
          <w:p w14:paraId="6AC630F6">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95.</w:t>
            </w:r>
            <w:r>
              <w:rPr>
                <w:rFonts w:hint="default" w:ascii="Times New Roman" w:hAnsi="Times New Roman" w:cs="Times New Roman"/>
                <w:b w:val="0"/>
                <w:bCs w:val="0"/>
                <w:color w:val="auto"/>
                <w:sz w:val="18"/>
                <w:szCs w:val="18"/>
                <w:highlight w:val="none"/>
                <w:lang w:val="en-US" w:eastAsia="zh-CN"/>
              </w:rPr>
              <w:t>317</w:t>
            </w:r>
            <w:r>
              <w:rPr>
                <w:rFonts w:hint="default" w:ascii="Times New Roman" w:hAnsi="Times New Roman" w:eastAsia="宋体" w:cs="Times New Roman"/>
                <w:b w:val="0"/>
                <w:bCs w:val="0"/>
                <w:color w:val="auto"/>
                <w:sz w:val="18"/>
                <w:szCs w:val="18"/>
                <w:highlight w:val="none"/>
              </w:rPr>
              <w:t>%</w:t>
            </w:r>
          </w:p>
        </w:tc>
        <w:tc>
          <w:tcPr>
            <w:tcW w:w="2387" w:type="dxa"/>
            <w:gridSpan w:val="3"/>
            <w:shd w:val="clear" w:color="auto" w:fill="auto"/>
            <w:vAlign w:val="center"/>
          </w:tcPr>
          <w:p w14:paraId="5072320E">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color w:val="auto"/>
                <w:sz w:val="18"/>
                <w:szCs w:val="18"/>
                <w:highlight w:val="none"/>
                <w:lang w:val="en-US" w:eastAsia="zh-CN"/>
              </w:rPr>
              <w:t>93.321</w:t>
            </w:r>
            <w:r>
              <w:rPr>
                <w:rFonts w:hint="default" w:ascii="Times New Roman" w:hAnsi="Times New Roman" w:eastAsia="宋体" w:cs="Times New Roman"/>
                <w:b w:val="0"/>
                <w:bCs w:val="0"/>
                <w:color w:val="auto"/>
                <w:sz w:val="18"/>
                <w:szCs w:val="18"/>
                <w:highlight w:val="none"/>
                <w:lang w:val="en-US" w:eastAsia="zh-CN"/>
              </w:rPr>
              <w:t>%</w:t>
            </w:r>
          </w:p>
        </w:tc>
        <w:tc>
          <w:tcPr>
            <w:tcW w:w="2389" w:type="dxa"/>
            <w:gridSpan w:val="3"/>
            <w:shd w:val="clear" w:color="auto" w:fill="auto"/>
            <w:vAlign w:val="center"/>
          </w:tcPr>
          <w:p w14:paraId="7602BA6F">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9</w:t>
            </w:r>
            <w:r>
              <w:rPr>
                <w:rFonts w:hint="default" w:ascii="Times New Roman" w:hAnsi="Times New Roman" w:cs="Times New Roman"/>
                <w:b w:val="0"/>
                <w:bCs w:val="0"/>
                <w:color w:val="auto"/>
                <w:sz w:val="18"/>
                <w:szCs w:val="18"/>
                <w:highlight w:val="none"/>
                <w:lang w:val="en-US" w:eastAsia="zh-CN"/>
              </w:rPr>
              <w:t>2.918</w:t>
            </w:r>
            <w:r>
              <w:rPr>
                <w:rFonts w:hint="default" w:ascii="Times New Roman" w:hAnsi="Times New Roman" w:eastAsia="宋体" w:cs="Times New Roman"/>
                <w:b w:val="0"/>
                <w:bCs w:val="0"/>
                <w:color w:val="auto"/>
                <w:sz w:val="18"/>
                <w:szCs w:val="18"/>
                <w:highlight w:val="none"/>
                <w:lang w:val="en-US" w:eastAsia="zh-CN"/>
              </w:rPr>
              <w:t>%</w:t>
            </w:r>
          </w:p>
        </w:tc>
      </w:tr>
      <w:tr w14:paraId="3760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5C962719">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（5%）</w:t>
            </w:r>
          </w:p>
        </w:tc>
        <w:tc>
          <w:tcPr>
            <w:tcW w:w="727" w:type="dxa"/>
            <w:shd w:val="clear" w:color="auto" w:fill="auto"/>
            <w:vAlign w:val="center"/>
          </w:tcPr>
          <w:p w14:paraId="6D5F306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23.988</w:t>
            </w:r>
          </w:p>
        </w:tc>
        <w:tc>
          <w:tcPr>
            <w:tcW w:w="795" w:type="dxa"/>
            <w:shd w:val="clear" w:color="auto" w:fill="auto"/>
            <w:vAlign w:val="center"/>
          </w:tcPr>
          <w:p w14:paraId="265C143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23.999</w:t>
            </w:r>
          </w:p>
        </w:tc>
        <w:tc>
          <w:tcPr>
            <w:tcW w:w="795" w:type="dxa"/>
            <w:shd w:val="clear" w:color="auto" w:fill="auto"/>
            <w:vAlign w:val="center"/>
          </w:tcPr>
          <w:p w14:paraId="6CFF10A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23.983</w:t>
            </w:r>
          </w:p>
        </w:tc>
        <w:tc>
          <w:tcPr>
            <w:tcW w:w="795" w:type="dxa"/>
            <w:shd w:val="clear" w:color="auto" w:fill="auto"/>
            <w:vAlign w:val="center"/>
          </w:tcPr>
          <w:p w14:paraId="4296018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23.952</w:t>
            </w:r>
          </w:p>
        </w:tc>
        <w:tc>
          <w:tcPr>
            <w:tcW w:w="795" w:type="dxa"/>
            <w:shd w:val="clear" w:color="auto" w:fill="auto"/>
            <w:vAlign w:val="center"/>
          </w:tcPr>
          <w:p w14:paraId="4022F12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23.970</w:t>
            </w:r>
          </w:p>
        </w:tc>
        <w:tc>
          <w:tcPr>
            <w:tcW w:w="797" w:type="dxa"/>
            <w:shd w:val="clear" w:color="auto" w:fill="auto"/>
            <w:vAlign w:val="center"/>
          </w:tcPr>
          <w:p w14:paraId="1057D8A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23.923</w:t>
            </w:r>
          </w:p>
        </w:tc>
        <w:tc>
          <w:tcPr>
            <w:tcW w:w="795" w:type="dxa"/>
            <w:shd w:val="clear" w:color="auto" w:fill="auto"/>
            <w:vAlign w:val="center"/>
          </w:tcPr>
          <w:p w14:paraId="0A7B6F3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23.966</w:t>
            </w:r>
          </w:p>
        </w:tc>
        <w:tc>
          <w:tcPr>
            <w:tcW w:w="795" w:type="dxa"/>
            <w:shd w:val="clear" w:color="auto" w:fill="auto"/>
            <w:vAlign w:val="center"/>
          </w:tcPr>
          <w:p w14:paraId="41FF9E4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24.017</w:t>
            </w:r>
          </w:p>
        </w:tc>
        <w:tc>
          <w:tcPr>
            <w:tcW w:w="799" w:type="dxa"/>
            <w:shd w:val="clear" w:color="auto" w:fill="auto"/>
            <w:vAlign w:val="center"/>
          </w:tcPr>
          <w:p w14:paraId="7CB1CE5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23.994</w:t>
            </w:r>
          </w:p>
        </w:tc>
      </w:tr>
      <w:tr w14:paraId="2D42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63E62C9E">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（3%）</w:t>
            </w:r>
          </w:p>
        </w:tc>
        <w:tc>
          <w:tcPr>
            <w:tcW w:w="727" w:type="dxa"/>
            <w:shd w:val="clear" w:color="auto" w:fill="auto"/>
            <w:vAlign w:val="center"/>
          </w:tcPr>
          <w:p w14:paraId="0227BBD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23.889</w:t>
            </w:r>
          </w:p>
        </w:tc>
        <w:tc>
          <w:tcPr>
            <w:tcW w:w="795" w:type="dxa"/>
            <w:shd w:val="clear" w:color="auto" w:fill="auto"/>
            <w:vAlign w:val="center"/>
          </w:tcPr>
          <w:p w14:paraId="213A85A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23.911</w:t>
            </w:r>
          </w:p>
        </w:tc>
        <w:tc>
          <w:tcPr>
            <w:tcW w:w="795" w:type="dxa"/>
            <w:shd w:val="clear" w:color="auto" w:fill="auto"/>
            <w:vAlign w:val="center"/>
          </w:tcPr>
          <w:p w14:paraId="366A0FC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23.963</w:t>
            </w:r>
          </w:p>
        </w:tc>
        <w:tc>
          <w:tcPr>
            <w:tcW w:w="795" w:type="dxa"/>
            <w:shd w:val="clear" w:color="auto" w:fill="auto"/>
            <w:vAlign w:val="center"/>
          </w:tcPr>
          <w:p w14:paraId="088620D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23.895</w:t>
            </w:r>
          </w:p>
        </w:tc>
        <w:tc>
          <w:tcPr>
            <w:tcW w:w="795" w:type="dxa"/>
            <w:shd w:val="clear" w:color="auto" w:fill="auto"/>
            <w:vAlign w:val="center"/>
          </w:tcPr>
          <w:p w14:paraId="471A5CD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23.904</w:t>
            </w:r>
          </w:p>
        </w:tc>
        <w:tc>
          <w:tcPr>
            <w:tcW w:w="797" w:type="dxa"/>
            <w:shd w:val="clear" w:color="auto" w:fill="auto"/>
            <w:vAlign w:val="center"/>
          </w:tcPr>
          <w:p w14:paraId="1BE58F5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23.875</w:t>
            </w:r>
          </w:p>
        </w:tc>
        <w:tc>
          <w:tcPr>
            <w:tcW w:w="795" w:type="dxa"/>
            <w:shd w:val="clear" w:color="auto" w:fill="auto"/>
            <w:vAlign w:val="center"/>
          </w:tcPr>
          <w:p w14:paraId="37971D0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23.887</w:t>
            </w:r>
          </w:p>
        </w:tc>
        <w:tc>
          <w:tcPr>
            <w:tcW w:w="795" w:type="dxa"/>
            <w:shd w:val="clear" w:color="auto" w:fill="auto"/>
            <w:vAlign w:val="center"/>
          </w:tcPr>
          <w:p w14:paraId="0845C73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23.931</w:t>
            </w:r>
          </w:p>
        </w:tc>
        <w:tc>
          <w:tcPr>
            <w:tcW w:w="799" w:type="dxa"/>
            <w:shd w:val="clear" w:color="auto" w:fill="auto"/>
            <w:vAlign w:val="center"/>
          </w:tcPr>
          <w:p w14:paraId="2C5AC83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23.964</w:t>
            </w:r>
          </w:p>
        </w:tc>
      </w:tr>
      <w:tr w14:paraId="66BD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33106227">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（1%）</w:t>
            </w:r>
          </w:p>
        </w:tc>
        <w:tc>
          <w:tcPr>
            <w:tcW w:w="727" w:type="dxa"/>
            <w:shd w:val="clear" w:color="auto" w:fill="auto"/>
            <w:vAlign w:val="center"/>
          </w:tcPr>
          <w:p w14:paraId="7FBD84E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23.645</w:t>
            </w:r>
          </w:p>
        </w:tc>
        <w:tc>
          <w:tcPr>
            <w:tcW w:w="795" w:type="dxa"/>
            <w:shd w:val="clear" w:color="auto" w:fill="auto"/>
            <w:vAlign w:val="center"/>
          </w:tcPr>
          <w:p w14:paraId="12C1C3F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23.647</w:t>
            </w:r>
          </w:p>
        </w:tc>
        <w:tc>
          <w:tcPr>
            <w:tcW w:w="795" w:type="dxa"/>
            <w:shd w:val="clear" w:color="auto" w:fill="auto"/>
            <w:vAlign w:val="center"/>
          </w:tcPr>
          <w:p w14:paraId="51A790D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23.646</w:t>
            </w:r>
          </w:p>
        </w:tc>
        <w:tc>
          <w:tcPr>
            <w:tcW w:w="795" w:type="dxa"/>
            <w:shd w:val="clear" w:color="auto" w:fill="auto"/>
            <w:vAlign w:val="center"/>
          </w:tcPr>
          <w:p w14:paraId="3E44AF3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23.654</w:t>
            </w:r>
          </w:p>
        </w:tc>
        <w:tc>
          <w:tcPr>
            <w:tcW w:w="795" w:type="dxa"/>
            <w:shd w:val="clear" w:color="auto" w:fill="auto"/>
            <w:vAlign w:val="center"/>
          </w:tcPr>
          <w:p w14:paraId="22613E6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23.765</w:t>
            </w:r>
          </w:p>
        </w:tc>
        <w:tc>
          <w:tcPr>
            <w:tcW w:w="797" w:type="dxa"/>
            <w:shd w:val="clear" w:color="auto" w:fill="auto"/>
            <w:vAlign w:val="center"/>
          </w:tcPr>
          <w:p w14:paraId="4CE0BC6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23.621</w:t>
            </w:r>
          </w:p>
        </w:tc>
        <w:tc>
          <w:tcPr>
            <w:tcW w:w="795" w:type="dxa"/>
            <w:shd w:val="clear" w:color="auto" w:fill="auto"/>
            <w:vAlign w:val="center"/>
          </w:tcPr>
          <w:p w14:paraId="45865EC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23.681</w:t>
            </w:r>
          </w:p>
        </w:tc>
        <w:tc>
          <w:tcPr>
            <w:tcW w:w="795" w:type="dxa"/>
            <w:shd w:val="clear" w:color="auto" w:fill="auto"/>
            <w:vAlign w:val="center"/>
          </w:tcPr>
          <w:p w14:paraId="65F3A86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23.705</w:t>
            </w:r>
          </w:p>
        </w:tc>
        <w:tc>
          <w:tcPr>
            <w:tcW w:w="799" w:type="dxa"/>
            <w:shd w:val="clear" w:color="auto" w:fill="auto"/>
            <w:vAlign w:val="center"/>
          </w:tcPr>
          <w:p w14:paraId="4753A7B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23.685</w:t>
            </w:r>
          </w:p>
        </w:tc>
      </w:tr>
      <w:tr w14:paraId="2627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56158310">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（0.5%）</w:t>
            </w:r>
          </w:p>
        </w:tc>
        <w:tc>
          <w:tcPr>
            <w:tcW w:w="727" w:type="dxa"/>
            <w:shd w:val="clear" w:color="auto" w:fill="auto"/>
            <w:vAlign w:val="center"/>
          </w:tcPr>
          <w:p w14:paraId="63E83B7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23.572</w:t>
            </w:r>
          </w:p>
        </w:tc>
        <w:tc>
          <w:tcPr>
            <w:tcW w:w="795" w:type="dxa"/>
            <w:shd w:val="clear" w:color="auto" w:fill="auto"/>
            <w:vAlign w:val="center"/>
          </w:tcPr>
          <w:p w14:paraId="3072AFC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23.533</w:t>
            </w:r>
          </w:p>
        </w:tc>
        <w:tc>
          <w:tcPr>
            <w:tcW w:w="795" w:type="dxa"/>
            <w:shd w:val="clear" w:color="auto" w:fill="auto"/>
            <w:vAlign w:val="center"/>
          </w:tcPr>
          <w:p w14:paraId="59B71C4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23.638</w:t>
            </w:r>
          </w:p>
        </w:tc>
        <w:tc>
          <w:tcPr>
            <w:tcW w:w="795" w:type="dxa"/>
            <w:shd w:val="clear" w:color="auto" w:fill="auto"/>
            <w:vAlign w:val="center"/>
          </w:tcPr>
          <w:p w14:paraId="3B1457D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23.582</w:t>
            </w:r>
          </w:p>
        </w:tc>
        <w:tc>
          <w:tcPr>
            <w:tcW w:w="795" w:type="dxa"/>
            <w:shd w:val="clear" w:color="auto" w:fill="auto"/>
            <w:vAlign w:val="center"/>
          </w:tcPr>
          <w:p w14:paraId="7B58016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23.601</w:t>
            </w:r>
          </w:p>
        </w:tc>
        <w:tc>
          <w:tcPr>
            <w:tcW w:w="797" w:type="dxa"/>
            <w:shd w:val="clear" w:color="auto" w:fill="auto"/>
            <w:vAlign w:val="center"/>
          </w:tcPr>
          <w:p w14:paraId="1AE3513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23.567</w:t>
            </w:r>
          </w:p>
        </w:tc>
        <w:tc>
          <w:tcPr>
            <w:tcW w:w="795" w:type="dxa"/>
            <w:shd w:val="clear" w:color="auto" w:fill="auto"/>
            <w:vAlign w:val="center"/>
          </w:tcPr>
          <w:p w14:paraId="61C847F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23.610</w:t>
            </w:r>
          </w:p>
        </w:tc>
        <w:tc>
          <w:tcPr>
            <w:tcW w:w="795" w:type="dxa"/>
            <w:shd w:val="clear" w:color="auto" w:fill="auto"/>
            <w:vAlign w:val="center"/>
          </w:tcPr>
          <w:p w14:paraId="672DCAC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23.584</w:t>
            </w:r>
          </w:p>
        </w:tc>
        <w:tc>
          <w:tcPr>
            <w:tcW w:w="799" w:type="dxa"/>
            <w:shd w:val="clear" w:color="auto" w:fill="auto"/>
            <w:vAlign w:val="center"/>
          </w:tcPr>
          <w:p w14:paraId="6F3AAB3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23.698</w:t>
            </w:r>
          </w:p>
        </w:tc>
      </w:tr>
      <w:tr w14:paraId="3B73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8" w:type="dxa"/>
            <w:gridSpan w:val="2"/>
            <w:shd w:val="clear" w:color="auto" w:fill="auto"/>
            <w:vAlign w:val="center"/>
          </w:tcPr>
          <w:p w14:paraId="497C8C32">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（0.1%）</w:t>
            </w:r>
          </w:p>
        </w:tc>
        <w:tc>
          <w:tcPr>
            <w:tcW w:w="727" w:type="dxa"/>
            <w:shd w:val="clear" w:color="auto" w:fill="auto"/>
            <w:vAlign w:val="center"/>
          </w:tcPr>
          <w:p w14:paraId="58F09A3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23.735</w:t>
            </w:r>
          </w:p>
        </w:tc>
        <w:tc>
          <w:tcPr>
            <w:tcW w:w="795" w:type="dxa"/>
            <w:shd w:val="clear" w:color="auto" w:fill="auto"/>
            <w:vAlign w:val="center"/>
          </w:tcPr>
          <w:p w14:paraId="2D761DB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23.668</w:t>
            </w:r>
          </w:p>
        </w:tc>
        <w:tc>
          <w:tcPr>
            <w:tcW w:w="795" w:type="dxa"/>
            <w:shd w:val="clear" w:color="auto" w:fill="auto"/>
            <w:vAlign w:val="center"/>
          </w:tcPr>
          <w:p w14:paraId="0783349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23.752</w:t>
            </w:r>
          </w:p>
        </w:tc>
        <w:tc>
          <w:tcPr>
            <w:tcW w:w="795" w:type="dxa"/>
            <w:shd w:val="clear" w:color="auto" w:fill="auto"/>
            <w:vAlign w:val="center"/>
          </w:tcPr>
          <w:p w14:paraId="1426E3A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23.728</w:t>
            </w:r>
          </w:p>
        </w:tc>
        <w:tc>
          <w:tcPr>
            <w:tcW w:w="795" w:type="dxa"/>
            <w:shd w:val="clear" w:color="auto" w:fill="auto"/>
            <w:vAlign w:val="center"/>
          </w:tcPr>
          <w:p w14:paraId="2D91868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23.726</w:t>
            </w:r>
          </w:p>
        </w:tc>
        <w:tc>
          <w:tcPr>
            <w:tcW w:w="797" w:type="dxa"/>
            <w:shd w:val="clear" w:color="auto" w:fill="auto"/>
            <w:vAlign w:val="center"/>
          </w:tcPr>
          <w:p w14:paraId="731179C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23.703</w:t>
            </w:r>
          </w:p>
        </w:tc>
        <w:tc>
          <w:tcPr>
            <w:tcW w:w="795" w:type="dxa"/>
            <w:shd w:val="clear" w:color="auto" w:fill="auto"/>
            <w:vAlign w:val="center"/>
          </w:tcPr>
          <w:p w14:paraId="599FBC5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23.669</w:t>
            </w:r>
          </w:p>
        </w:tc>
        <w:tc>
          <w:tcPr>
            <w:tcW w:w="795" w:type="dxa"/>
            <w:shd w:val="clear" w:color="auto" w:fill="auto"/>
            <w:vAlign w:val="center"/>
          </w:tcPr>
          <w:p w14:paraId="5A91F49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23.740</w:t>
            </w:r>
          </w:p>
        </w:tc>
        <w:tc>
          <w:tcPr>
            <w:tcW w:w="799" w:type="dxa"/>
            <w:shd w:val="clear" w:color="auto" w:fill="auto"/>
            <w:vAlign w:val="center"/>
          </w:tcPr>
          <w:p w14:paraId="613B73E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23.709</w:t>
            </w:r>
          </w:p>
        </w:tc>
      </w:tr>
    </w:tbl>
    <w:p w14:paraId="4B6B9E38">
      <w:pPr>
        <w:rPr>
          <w:rFonts w:hint="default" w:ascii="Times New Roman" w:hAnsi="Times New Roman" w:eastAsia="宋体" w:cs="Times New Roman"/>
          <w:b/>
          <w:sz w:val="18"/>
          <w:szCs w:val="18"/>
        </w:rPr>
      </w:pPr>
      <w:r>
        <w:rPr>
          <w:rFonts w:hint="default" w:ascii="Times New Roman" w:hAnsi="Times New Roman" w:eastAsia="宋体" w:cs="Times New Roman"/>
          <w:bCs/>
          <w:sz w:val="18"/>
          <w:szCs w:val="18"/>
        </w:rPr>
        <w:t>注1：标准曲线公式 y=ax + b ,式中以</w:t>
      </w:r>
      <w:r>
        <w:rPr>
          <w:rFonts w:hint="default" w:ascii="Times New Roman" w:hAnsi="Times New Roman" w:eastAsia="宋体" w:cs="Times New Roman"/>
          <w:bCs/>
          <w:i/>
          <w:iCs/>
          <w:sz w:val="18"/>
          <w:szCs w:val="18"/>
        </w:rPr>
        <w:t>Ct</w:t>
      </w:r>
      <w:r>
        <w:rPr>
          <w:rFonts w:hint="default" w:ascii="Times New Roman" w:hAnsi="Times New Roman" w:eastAsia="宋体" w:cs="Times New Roman"/>
          <w:bCs/>
          <w:sz w:val="18"/>
          <w:szCs w:val="18"/>
        </w:rPr>
        <w:t>值作为y轴，以拷贝数的对数作为x轴</w:t>
      </w:r>
      <w:r>
        <w:rPr>
          <w:rFonts w:hint="default" w:ascii="Times New Roman" w:hAnsi="Times New Roman" w:eastAsia="宋体" w:cs="Times New Roman"/>
          <w:b/>
          <w:sz w:val="18"/>
          <w:szCs w:val="18"/>
        </w:rPr>
        <w:t>。</w:t>
      </w:r>
    </w:p>
    <w:p w14:paraId="79BB8A1E">
      <w:pP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注2</w:t>
      </w:r>
      <w:r>
        <w:rPr>
          <w:rFonts w:hint="default" w:ascii="Times New Roman" w:hAnsi="Times New Roman" w:eastAsia="宋体" w:cs="Times New Roman"/>
          <w:b/>
          <w:sz w:val="18"/>
          <w:szCs w:val="18"/>
        </w:rPr>
        <w:t>：</w:t>
      </w:r>
      <w:r>
        <w:rPr>
          <w:rFonts w:hint="default" w:ascii="Times New Roman" w:hAnsi="Times New Roman" w:eastAsia="宋体" w:cs="Times New Roman"/>
          <w:bCs/>
          <w:sz w:val="18"/>
          <w:szCs w:val="18"/>
        </w:rPr>
        <w:t>标准曲线斜率须在-3.6到-3.1，R</w:t>
      </w:r>
      <w:r>
        <w:rPr>
          <w:rFonts w:hint="default" w:ascii="Times New Roman" w:hAnsi="Times New Roman" w:eastAsia="宋体" w:cs="Times New Roman"/>
          <w:bCs/>
          <w:sz w:val="18"/>
          <w:szCs w:val="18"/>
          <w:vertAlign w:val="superscript"/>
        </w:rPr>
        <w:t>2</w:t>
      </w:r>
      <w:r>
        <w:rPr>
          <w:rFonts w:hint="default" w:ascii="Times New Roman" w:hAnsi="Times New Roman" w:eastAsia="宋体" w:cs="Times New Roman"/>
          <w:bCs/>
          <w:sz w:val="18"/>
          <w:szCs w:val="18"/>
        </w:rPr>
        <w:t>值大于等于0.98，扩增效率90%到110%。</w:t>
      </w:r>
    </w:p>
    <w:p w14:paraId="1DA92639">
      <w:pPr>
        <w:rPr>
          <w:rFonts w:hint="default" w:ascii="Times New Roman" w:hAnsi="Times New Roman" w:eastAsia="宋体" w:cs="Times New Roman"/>
          <w:bCs/>
          <w:sz w:val="18"/>
          <w:szCs w:val="18"/>
        </w:rPr>
      </w:pPr>
    </w:p>
    <w:p w14:paraId="24644384">
      <w:pPr>
        <w:jc w:val="center"/>
        <w:rPr>
          <w:rFonts w:eastAsia="仿宋"/>
          <w:sz w:val="32"/>
          <w:szCs w:val="32"/>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2-14</w:t>
      </w:r>
      <w:r>
        <w:rPr>
          <w:rFonts w:ascii="Times New Roman" w:hAnsi="Times New Roman" w:eastAsia="黑体" w:cs="Calibri"/>
          <w:kern w:val="2"/>
          <w:sz w:val="18"/>
          <w:szCs w:val="22"/>
          <w:lang w:val="en-US" w:eastAsia="zh-CN" w:bidi="ar-SA"/>
        </w:rPr>
        <w:t xml:space="preserve"> 试样检测数据汇总统计（</w:t>
      </w:r>
      <w:r>
        <w:rPr>
          <w:rFonts w:hint="eastAsia" w:eastAsia="黑体" w:cs="Calibri"/>
          <w:kern w:val="2"/>
          <w:sz w:val="18"/>
          <w:szCs w:val="22"/>
          <w:lang w:val="en-US" w:eastAsia="zh-CN" w:bidi="ar-SA"/>
        </w:rPr>
        <w:t>QY2569-42</w:t>
      </w:r>
      <w:r>
        <w:rPr>
          <w:rFonts w:ascii="Times New Roman" w:hAnsi="Times New Roman" w:eastAsia="黑体" w:cs="Calibri"/>
          <w:kern w:val="2"/>
          <w:sz w:val="18"/>
          <w:szCs w:val="22"/>
          <w:lang w:val="en-US" w:eastAsia="zh-CN" w:bidi="ar-SA"/>
        </w:rPr>
        <w:t>转化体）</w:t>
      </w:r>
    </w:p>
    <w:tbl>
      <w:tblPr>
        <w:tblStyle w:val="16"/>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802"/>
        <w:gridCol w:w="797"/>
        <w:gridCol w:w="797"/>
        <w:gridCol w:w="797"/>
        <w:gridCol w:w="797"/>
        <w:gridCol w:w="797"/>
        <w:gridCol w:w="797"/>
        <w:gridCol w:w="797"/>
        <w:gridCol w:w="6"/>
        <w:gridCol w:w="791"/>
        <w:gridCol w:w="6"/>
        <w:gridCol w:w="798"/>
      </w:tblGrid>
      <w:tr w14:paraId="2DCF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vMerge w:val="restart"/>
            <w:shd w:val="clear" w:color="auto" w:fill="auto"/>
            <w:vAlign w:val="center"/>
          </w:tcPr>
          <w:p w14:paraId="0BE72C60">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样品名称/编号</w:t>
            </w:r>
          </w:p>
        </w:tc>
        <w:tc>
          <w:tcPr>
            <w:tcW w:w="7180" w:type="dxa"/>
            <w:gridSpan w:val="11"/>
            <w:shd w:val="clear" w:color="auto" w:fill="auto"/>
            <w:vAlign w:val="center"/>
          </w:tcPr>
          <w:p w14:paraId="3AAEEC03">
            <w:pPr>
              <w:jc w:val="center"/>
              <w:rPr>
                <w:rFonts w:hint="default" w:ascii="Times New Roman" w:hAnsi="Times New Roman" w:eastAsia="宋体" w:cs="Times New Roman"/>
                <w:b/>
                <w:bCs/>
                <w:sz w:val="18"/>
                <w:szCs w:val="18"/>
              </w:rPr>
            </w:pPr>
            <w:r>
              <w:rPr>
                <w:rFonts w:hint="eastAsia" w:cs="Times New Roman"/>
                <w:b/>
                <w:bCs/>
                <w:sz w:val="18"/>
                <w:szCs w:val="18"/>
                <w:lang w:eastAsia="zh-CN"/>
              </w:rPr>
              <w:t>QY2569-42</w:t>
            </w:r>
            <w:r>
              <w:rPr>
                <w:rFonts w:hint="default" w:ascii="Times New Roman" w:hAnsi="Times New Roman" w:eastAsia="宋体" w:cs="Times New Roman"/>
                <w:b/>
                <w:bCs/>
                <w:sz w:val="18"/>
                <w:szCs w:val="18"/>
              </w:rPr>
              <w:t>转化体特异性序列</w:t>
            </w:r>
            <w:r>
              <w:rPr>
                <w:rFonts w:hint="default" w:ascii="Times New Roman" w:hAnsi="Times New Roman" w:eastAsia="宋体" w:cs="Times New Roman"/>
                <w:b/>
                <w:bCs/>
                <w:i/>
                <w:iCs/>
                <w:sz w:val="18"/>
                <w:szCs w:val="18"/>
              </w:rPr>
              <w:t>Ct</w:t>
            </w:r>
            <w:r>
              <w:rPr>
                <w:rFonts w:hint="default" w:ascii="Times New Roman" w:hAnsi="Times New Roman" w:eastAsia="宋体" w:cs="Times New Roman"/>
                <w:b/>
                <w:bCs/>
                <w:sz w:val="18"/>
                <w:szCs w:val="18"/>
              </w:rPr>
              <w:t>值</w:t>
            </w:r>
          </w:p>
        </w:tc>
      </w:tr>
      <w:tr w14:paraId="7302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vMerge w:val="continue"/>
            <w:shd w:val="clear" w:color="auto" w:fill="auto"/>
            <w:vAlign w:val="center"/>
          </w:tcPr>
          <w:p w14:paraId="7295F090">
            <w:pPr>
              <w:jc w:val="center"/>
              <w:rPr>
                <w:rFonts w:hint="default" w:ascii="Times New Roman" w:hAnsi="Times New Roman" w:eastAsia="宋体" w:cs="Times New Roman"/>
                <w:b/>
                <w:bCs/>
                <w:sz w:val="18"/>
                <w:szCs w:val="18"/>
              </w:rPr>
            </w:pPr>
          </w:p>
        </w:tc>
        <w:tc>
          <w:tcPr>
            <w:tcW w:w="2391" w:type="dxa"/>
            <w:gridSpan w:val="3"/>
            <w:shd w:val="clear" w:color="auto" w:fill="auto"/>
            <w:vAlign w:val="center"/>
          </w:tcPr>
          <w:p w14:paraId="1E1D2B2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重复1</w:t>
            </w:r>
          </w:p>
        </w:tc>
        <w:tc>
          <w:tcPr>
            <w:tcW w:w="2391" w:type="dxa"/>
            <w:gridSpan w:val="3"/>
            <w:shd w:val="clear" w:color="auto" w:fill="auto"/>
            <w:vAlign w:val="center"/>
          </w:tcPr>
          <w:p w14:paraId="20BD066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重复2</w:t>
            </w:r>
          </w:p>
        </w:tc>
        <w:tc>
          <w:tcPr>
            <w:tcW w:w="2398" w:type="dxa"/>
            <w:gridSpan w:val="5"/>
            <w:shd w:val="clear" w:color="auto" w:fill="auto"/>
            <w:vAlign w:val="center"/>
          </w:tcPr>
          <w:p w14:paraId="6F9A626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重复3</w:t>
            </w:r>
          </w:p>
        </w:tc>
      </w:tr>
      <w:tr w14:paraId="2185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vMerge w:val="continue"/>
            <w:shd w:val="clear" w:color="auto" w:fill="auto"/>
            <w:vAlign w:val="center"/>
          </w:tcPr>
          <w:p w14:paraId="1CAF6025">
            <w:pPr>
              <w:jc w:val="center"/>
              <w:rPr>
                <w:rFonts w:hint="default" w:ascii="Times New Roman" w:hAnsi="Times New Roman" w:eastAsia="宋体" w:cs="Times New Roman"/>
                <w:b/>
                <w:bCs/>
                <w:sz w:val="18"/>
                <w:szCs w:val="18"/>
              </w:rPr>
            </w:pPr>
          </w:p>
        </w:tc>
        <w:tc>
          <w:tcPr>
            <w:tcW w:w="797" w:type="dxa"/>
            <w:shd w:val="clear" w:color="auto" w:fill="auto"/>
            <w:vAlign w:val="center"/>
          </w:tcPr>
          <w:p w14:paraId="1684DB49">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797" w:type="dxa"/>
            <w:shd w:val="clear" w:color="auto" w:fill="auto"/>
            <w:vAlign w:val="center"/>
          </w:tcPr>
          <w:p w14:paraId="0C87E5A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797" w:type="dxa"/>
            <w:shd w:val="clear" w:color="auto" w:fill="auto"/>
            <w:vAlign w:val="center"/>
          </w:tcPr>
          <w:p w14:paraId="732199B9">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c>
          <w:tcPr>
            <w:tcW w:w="797" w:type="dxa"/>
            <w:shd w:val="clear" w:color="auto" w:fill="auto"/>
            <w:vAlign w:val="center"/>
          </w:tcPr>
          <w:p w14:paraId="473DBA33">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797" w:type="dxa"/>
            <w:shd w:val="clear" w:color="auto" w:fill="auto"/>
            <w:vAlign w:val="center"/>
          </w:tcPr>
          <w:p w14:paraId="351F057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797" w:type="dxa"/>
            <w:shd w:val="clear" w:color="auto" w:fill="auto"/>
            <w:vAlign w:val="center"/>
          </w:tcPr>
          <w:p w14:paraId="5C1B65F1">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c>
          <w:tcPr>
            <w:tcW w:w="803" w:type="dxa"/>
            <w:gridSpan w:val="2"/>
            <w:shd w:val="clear" w:color="auto" w:fill="auto"/>
            <w:vAlign w:val="center"/>
          </w:tcPr>
          <w:p w14:paraId="0E02D050">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797" w:type="dxa"/>
            <w:gridSpan w:val="2"/>
            <w:shd w:val="clear" w:color="auto" w:fill="auto"/>
            <w:vAlign w:val="center"/>
          </w:tcPr>
          <w:p w14:paraId="2B8AFE3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798" w:type="dxa"/>
            <w:shd w:val="clear" w:color="auto" w:fill="auto"/>
            <w:vAlign w:val="center"/>
          </w:tcPr>
          <w:p w14:paraId="4052D329">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r>
      <w:tr w14:paraId="5A46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7F9C1A9E">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S1（40000拷贝）</w:t>
            </w:r>
          </w:p>
        </w:tc>
        <w:tc>
          <w:tcPr>
            <w:tcW w:w="797" w:type="dxa"/>
            <w:shd w:val="clear" w:color="auto" w:fill="auto"/>
            <w:vAlign w:val="center"/>
          </w:tcPr>
          <w:p w14:paraId="5C20A50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24.478</w:t>
            </w:r>
          </w:p>
        </w:tc>
        <w:tc>
          <w:tcPr>
            <w:tcW w:w="797" w:type="dxa"/>
            <w:shd w:val="clear" w:color="auto" w:fill="auto"/>
            <w:vAlign w:val="center"/>
          </w:tcPr>
          <w:p w14:paraId="2971AFC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24.320</w:t>
            </w:r>
          </w:p>
        </w:tc>
        <w:tc>
          <w:tcPr>
            <w:tcW w:w="797" w:type="dxa"/>
            <w:shd w:val="clear" w:color="auto" w:fill="auto"/>
            <w:vAlign w:val="center"/>
          </w:tcPr>
          <w:p w14:paraId="02C2640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24.359</w:t>
            </w:r>
          </w:p>
        </w:tc>
        <w:tc>
          <w:tcPr>
            <w:tcW w:w="797" w:type="dxa"/>
            <w:shd w:val="clear" w:color="auto" w:fill="auto"/>
            <w:vAlign w:val="center"/>
          </w:tcPr>
          <w:p w14:paraId="5115C81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24.753</w:t>
            </w:r>
          </w:p>
        </w:tc>
        <w:tc>
          <w:tcPr>
            <w:tcW w:w="797" w:type="dxa"/>
            <w:shd w:val="clear" w:color="auto" w:fill="auto"/>
            <w:vAlign w:val="center"/>
          </w:tcPr>
          <w:p w14:paraId="7A573A9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24.724</w:t>
            </w:r>
          </w:p>
        </w:tc>
        <w:tc>
          <w:tcPr>
            <w:tcW w:w="797" w:type="dxa"/>
            <w:shd w:val="clear" w:color="auto" w:fill="auto"/>
            <w:vAlign w:val="center"/>
          </w:tcPr>
          <w:p w14:paraId="26A7A02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24.780</w:t>
            </w:r>
          </w:p>
        </w:tc>
        <w:tc>
          <w:tcPr>
            <w:tcW w:w="797" w:type="dxa"/>
            <w:shd w:val="clear" w:color="auto" w:fill="auto"/>
            <w:vAlign w:val="center"/>
          </w:tcPr>
          <w:p w14:paraId="523EE36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24.583</w:t>
            </w:r>
          </w:p>
        </w:tc>
        <w:tc>
          <w:tcPr>
            <w:tcW w:w="797" w:type="dxa"/>
            <w:gridSpan w:val="2"/>
            <w:shd w:val="clear" w:color="auto" w:fill="auto"/>
            <w:vAlign w:val="center"/>
          </w:tcPr>
          <w:p w14:paraId="3DE9FFA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24.589</w:t>
            </w:r>
          </w:p>
        </w:tc>
        <w:tc>
          <w:tcPr>
            <w:tcW w:w="804" w:type="dxa"/>
            <w:gridSpan w:val="2"/>
            <w:shd w:val="clear" w:color="auto" w:fill="auto"/>
            <w:vAlign w:val="center"/>
          </w:tcPr>
          <w:p w14:paraId="1AAB6B7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24.547</w:t>
            </w:r>
          </w:p>
        </w:tc>
      </w:tr>
      <w:tr w14:paraId="582D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71A809CB">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S2（6667拷贝）</w:t>
            </w:r>
          </w:p>
        </w:tc>
        <w:tc>
          <w:tcPr>
            <w:tcW w:w="797" w:type="dxa"/>
            <w:shd w:val="clear" w:color="auto" w:fill="auto"/>
            <w:vAlign w:val="center"/>
          </w:tcPr>
          <w:p w14:paraId="29CBF89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26.670</w:t>
            </w:r>
          </w:p>
        </w:tc>
        <w:tc>
          <w:tcPr>
            <w:tcW w:w="797" w:type="dxa"/>
            <w:shd w:val="clear" w:color="auto" w:fill="auto"/>
            <w:vAlign w:val="center"/>
          </w:tcPr>
          <w:p w14:paraId="0A796E4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26.681</w:t>
            </w:r>
          </w:p>
        </w:tc>
        <w:tc>
          <w:tcPr>
            <w:tcW w:w="797" w:type="dxa"/>
            <w:shd w:val="clear" w:color="auto" w:fill="auto"/>
            <w:vAlign w:val="center"/>
          </w:tcPr>
          <w:p w14:paraId="1B8A431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26.784</w:t>
            </w:r>
          </w:p>
        </w:tc>
        <w:tc>
          <w:tcPr>
            <w:tcW w:w="797" w:type="dxa"/>
            <w:shd w:val="clear" w:color="auto" w:fill="auto"/>
            <w:vAlign w:val="center"/>
          </w:tcPr>
          <w:p w14:paraId="1685E39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27.195</w:t>
            </w:r>
          </w:p>
        </w:tc>
        <w:tc>
          <w:tcPr>
            <w:tcW w:w="797" w:type="dxa"/>
            <w:shd w:val="clear" w:color="auto" w:fill="auto"/>
            <w:vAlign w:val="center"/>
          </w:tcPr>
          <w:p w14:paraId="37C1EE6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27.189</w:t>
            </w:r>
          </w:p>
        </w:tc>
        <w:tc>
          <w:tcPr>
            <w:tcW w:w="797" w:type="dxa"/>
            <w:shd w:val="clear" w:color="auto" w:fill="auto"/>
            <w:vAlign w:val="center"/>
          </w:tcPr>
          <w:p w14:paraId="06DB179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27.225</w:t>
            </w:r>
          </w:p>
        </w:tc>
        <w:tc>
          <w:tcPr>
            <w:tcW w:w="797" w:type="dxa"/>
            <w:shd w:val="clear" w:color="auto" w:fill="auto"/>
            <w:vAlign w:val="center"/>
          </w:tcPr>
          <w:p w14:paraId="3D5917F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27.048</w:t>
            </w:r>
          </w:p>
        </w:tc>
        <w:tc>
          <w:tcPr>
            <w:tcW w:w="797" w:type="dxa"/>
            <w:gridSpan w:val="2"/>
            <w:shd w:val="clear" w:color="auto" w:fill="auto"/>
            <w:vAlign w:val="center"/>
          </w:tcPr>
          <w:p w14:paraId="456A9A3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27.057</w:t>
            </w:r>
          </w:p>
        </w:tc>
        <w:tc>
          <w:tcPr>
            <w:tcW w:w="804" w:type="dxa"/>
            <w:gridSpan w:val="2"/>
            <w:shd w:val="clear" w:color="auto" w:fill="auto"/>
            <w:vAlign w:val="center"/>
          </w:tcPr>
          <w:p w14:paraId="64AEE60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27.064</w:t>
            </w:r>
          </w:p>
        </w:tc>
      </w:tr>
      <w:tr w14:paraId="023B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479B57B4">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S3（1111拷贝）</w:t>
            </w:r>
          </w:p>
        </w:tc>
        <w:tc>
          <w:tcPr>
            <w:tcW w:w="797" w:type="dxa"/>
            <w:shd w:val="clear" w:color="auto" w:fill="auto"/>
            <w:vAlign w:val="center"/>
          </w:tcPr>
          <w:p w14:paraId="28525D8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29.309</w:t>
            </w:r>
          </w:p>
        </w:tc>
        <w:tc>
          <w:tcPr>
            <w:tcW w:w="797" w:type="dxa"/>
            <w:shd w:val="clear" w:color="auto" w:fill="auto"/>
            <w:vAlign w:val="center"/>
          </w:tcPr>
          <w:p w14:paraId="3543623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29.388</w:t>
            </w:r>
          </w:p>
        </w:tc>
        <w:tc>
          <w:tcPr>
            <w:tcW w:w="797" w:type="dxa"/>
            <w:shd w:val="clear" w:color="auto" w:fill="auto"/>
            <w:vAlign w:val="center"/>
          </w:tcPr>
          <w:p w14:paraId="648C795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29.287</w:t>
            </w:r>
          </w:p>
        </w:tc>
        <w:tc>
          <w:tcPr>
            <w:tcW w:w="797" w:type="dxa"/>
            <w:shd w:val="clear" w:color="auto" w:fill="auto"/>
            <w:vAlign w:val="center"/>
          </w:tcPr>
          <w:p w14:paraId="5CF362E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29.688</w:t>
            </w:r>
          </w:p>
        </w:tc>
        <w:tc>
          <w:tcPr>
            <w:tcW w:w="797" w:type="dxa"/>
            <w:shd w:val="clear" w:color="auto" w:fill="auto"/>
            <w:vAlign w:val="center"/>
          </w:tcPr>
          <w:p w14:paraId="4E6589D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29.741</w:t>
            </w:r>
          </w:p>
        </w:tc>
        <w:tc>
          <w:tcPr>
            <w:tcW w:w="797" w:type="dxa"/>
            <w:shd w:val="clear" w:color="auto" w:fill="auto"/>
            <w:vAlign w:val="center"/>
          </w:tcPr>
          <w:p w14:paraId="4F052BD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29.747</w:t>
            </w:r>
          </w:p>
        </w:tc>
        <w:tc>
          <w:tcPr>
            <w:tcW w:w="797" w:type="dxa"/>
            <w:shd w:val="clear" w:color="auto" w:fill="auto"/>
            <w:vAlign w:val="center"/>
          </w:tcPr>
          <w:p w14:paraId="2CE56CD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29.591</w:t>
            </w:r>
          </w:p>
        </w:tc>
        <w:tc>
          <w:tcPr>
            <w:tcW w:w="797" w:type="dxa"/>
            <w:gridSpan w:val="2"/>
            <w:shd w:val="clear" w:color="auto" w:fill="auto"/>
            <w:vAlign w:val="center"/>
          </w:tcPr>
          <w:p w14:paraId="5F3C107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29.628</w:t>
            </w:r>
          </w:p>
        </w:tc>
        <w:tc>
          <w:tcPr>
            <w:tcW w:w="804" w:type="dxa"/>
            <w:gridSpan w:val="2"/>
            <w:shd w:val="clear" w:color="auto" w:fill="auto"/>
            <w:vAlign w:val="center"/>
          </w:tcPr>
          <w:p w14:paraId="6DACC15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29.488</w:t>
            </w:r>
          </w:p>
        </w:tc>
      </w:tr>
      <w:tr w14:paraId="2195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63534430">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S4</w:t>
            </w:r>
          </w:p>
          <w:p w14:paraId="42B9347A">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（185拷贝）</w:t>
            </w:r>
          </w:p>
        </w:tc>
        <w:tc>
          <w:tcPr>
            <w:tcW w:w="797" w:type="dxa"/>
            <w:shd w:val="clear" w:color="auto" w:fill="auto"/>
            <w:vAlign w:val="center"/>
          </w:tcPr>
          <w:p w14:paraId="0746C8F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32.050</w:t>
            </w:r>
          </w:p>
        </w:tc>
        <w:tc>
          <w:tcPr>
            <w:tcW w:w="797" w:type="dxa"/>
            <w:shd w:val="clear" w:color="auto" w:fill="auto"/>
            <w:vAlign w:val="center"/>
          </w:tcPr>
          <w:p w14:paraId="5B475F2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32.026</w:t>
            </w:r>
          </w:p>
        </w:tc>
        <w:tc>
          <w:tcPr>
            <w:tcW w:w="797" w:type="dxa"/>
            <w:shd w:val="clear" w:color="auto" w:fill="auto"/>
            <w:vAlign w:val="center"/>
          </w:tcPr>
          <w:p w14:paraId="795D116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32.085</w:t>
            </w:r>
          </w:p>
        </w:tc>
        <w:tc>
          <w:tcPr>
            <w:tcW w:w="797" w:type="dxa"/>
            <w:shd w:val="clear" w:color="auto" w:fill="auto"/>
            <w:vAlign w:val="center"/>
          </w:tcPr>
          <w:p w14:paraId="70E7E1C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32.611</w:t>
            </w:r>
          </w:p>
        </w:tc>
        <w:tc>
          <w:tcPr>
            <w:tcW w:w="797" w:type="dxa"/>
            <w:shd w:val="clear" w:color="auto" w:fill="auto"/>
            <w:vAlign w:val="center"/>
          </w:tcPr>
          <w:p w14:paraId="7EB4432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32.501</w:t>
            </w:r>
          </w:p>
        </w:tc>
        <w:tc>
          <w:tcPr>
            <w:tcW w:w="797" w:type="dxa"/>
            <w:shd w:val="clear" w:color="auto" w:fill="auto"/>
            <w:vAlign w:val="center"/>
          </w:tcPr>
          <w:p w14:paraId="2D43BE5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32.618</w:t>
            </w:r>
          </w:p>
        </w:tc>
        <w:tc>
          <w:tcPr>
            <w:tcW w:w="797" w:type="dxa"/>
            <w:shd w:val="clear" w:color="auto" w:fill="auto"/>
            <w:vAlign w:val="center"/>
          </w:tcPr>
          <w:p w14:paraId="30103A4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32.548</w:t>
            </w:r>
          </w:p>
        </w:tc>
        <w:tc>
          <w:tcPr>
            <w:tcW w:w="797" w:type="dxa"/>
            <w:gridSpan w:val="2"/>
            <w:shd w:val="clear" w:color="auto" w:fill="auto"/>
            <w:vAlign w:val="center"/>
          </w:tcPr>
          <w:p w14:paraId="0A89080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32.316</w:t>
            </w:r>
          </w:p>
        </w:tc>
        <w:tc>
          <w:tcPr>
            <w:tcW w:w="804" w:type="dxa"/>
            <w:gridSpan w:val="2"/>
            <w:shd w:val="clear" w:color="auto" w:fill="auto"/>
            <w:vAlign w:val="center"/>
          </w:tcPr>
          <w:p w14:paraId="38EB409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32.439</w:t>
            </w:r>
          </w:p>
        </w:tc>
      </w:tr>
      <w:tr w14:paraId="4A31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4ACDECD6">
            <w:pPr>
              <w:jc w:val="center"/>
              <w:rPr>
                <w:rFonts w:hint="default" w:ascii="Times New Roman" w:hAnsi="Times New Roman" w:eastAsia="宋体" w:cs="Times New Roman"/>
                <w:sz w:val="18"/>
                <w:szCs w:val="18"/>
                <w:highlight w:val="none"/>
              </w:rPr>
            </w:pPr>
            <w:r>
              <w:rPr>
                <w:rFonts w:hint="eastAsia" w:cs="Times New Roman"/>
                <w:sz w:val="18"/>
                <w:szCs w:val="18"/>
                <w:highlight w:val="none"/>
                <w:lang w:eastAsia="zh-CN"/>
              </w:rPr>
              <w:t>校准品</w:t>
            </w:r>
            <w:r>
              <w:rPr>
                <w:rFonts w:hint="default" w:ascii="Times New Roman" w:hAnsi="Times New Roman" w:eastAsia="宋体" w:cs="Times New Roman"/>
                <w:sz w:val="18"/>
                <w:szCs w:val="18"/>
                <w:highlight w:val="none"/>
              </w:rPr>
              <w:t>S5</w:t>
            </w:r>
          </w:p>
          <w:p w14:paraId="1DBA8F79">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w:t>
            </w:r>
            <w:r>
              <w:rPr>
                <w:rFonts w:hint="default" w:ascii="Times New Roman" w:hAnsi="Times New Roman" w:eastAsia="宋体" w:cs="Times New Roman"/>
                <w:sz w:val="18"/>
                <w:szCs w:val="18"/>
                <w:highlight w:val="none"/>
                <w:lang w:val="en-US" w:eastAsia="zh-CN"/>
              </w:rPr>
              <w:t>31</w:t>
            </w:r>
            <w:r>
              <w:rPr>
                <w:rFonts w:hint="default" w:ascii="Times New Roman" w:hAnsi="Times New Roman" w:eastAsia="宋体" w:cs="Times New Roman"/>
                <w:sz w:val="18"/>
                <w:szCs w:val="18"/>
                <w:highlight w:val="none"/>
              </w:rPr>
              <w:t>拷贝）</w:t>
            </w:r>
          </w:p>
        </w:tc>
        <w:tc>
          <w:tcPr>
            <w:tcW w:w="797" w:type="dxa"/>
            <w:shd w:val="clear" w:color="auto" w:fill="auto"/>
            <w:vAlign w:val="center"/>
          </w:tcPr>
          <w:p w14:paraId="30D2A8B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34.942</w:t>
            </w:r>
          </w:p>
        </w:tc>
        <w:tc>
          <w:tcPr>
            <w:tcW w:w="797" w:type="dxa"/>
            <w:shd w:val="clear" w:color="auto" w:fill="auto"/>
            <w:vAlign w:val="center"/>
          </w:tcPr>
          <w:p w14:paraId="2A92687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34.476</w:t>
            </w:r>
          </w:p>
        </w:tc>
        <w:tc>
          <w:tcPr>
            <w:tcW w:w="797" w:type="dxa"/>
            <w:shd w:val="clear" w:color="auto" w:fill="auto"/>
            <w:vAlign w:val="center"/>
          </w:tcPr>
          <w:p w14:paraId="134A210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34.568</w:t>
            </w:r>
          </w:p>
        </w:tc>
        <w:tc>
          <w:tcPr>
            <w:tcW w:w="797" w:type="dxa"/>
            <w:shd w:val="clear" w:color="auto" w:fill="auto"/>
            <w:vAlign w:val="center"/>
          </w:tcPr>
          <w:p w14:paraId="7BCBA09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34.982</w:t>
            </w:r>
          </w:p>
        </w:tc>
        <w:tc>
          <w:tcPr>
            <w:tcW w:w="797" w:type="dxa"/>
            <w:shd w:val="clear" w:color="auto" w:fill="auto"/>
            <w:vAlign w:val="center"/>
          </w:tcPr>
          <w:p w14:paraId="4BD35AC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34.486</w:t>
            </w:r>
          </w:p>
        </w:tc>
        <w:tc>
          <w:tcPr>
            <w:tcW w:w="797" w:type="dxa"/>
            <w:shd w:val="clear" w:color="auto" w:fill="auto"/>
            <w:vAlign w:val="center"/>
          </w:tcPr>
          <w:p w14:paraId="26CF3A7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34.769</w:t>
            </w:r>
          </w:p>
        </w:tc>
        <w:tc>
          <w:tcPr>
            <w:tcW w:w="797" w:type="dxa"/>
            <w:shd w:val="clear" w:color="auto" w:fill="auto"/>
            <w:vAlign w:val="center"/>
          </w:tcPr>
          <w:p w14:paraId="084DFEC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34.576</w:t>
            </w:r>
          </w:p>
        </w:tc>
        <w:tc>
          <w:tcPr>
            <w:tcW w:w="797" w:type="dxa"/>
            <w:gridSpan w:val="2"/>
            <w:shd w:val="clear" w:color="auto" w:fill="auto"/>
            <w:vAlign w:val="center"/>
          </w:tcPr>
          <w:p w14:paraId="52B6135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34.658</w:t>
            </w:r>
          </w:p>
        </w:tc>
        <w:tc>
          <w:tcPr>
            <w:tcW w:w="804" w:type="dxa"/>
            <w:gridSpan w:val="2"/>
            <w:shd w:val="clear" w:color="auto" w:fill="auto"/>
            <w:vAlign w:val="center"/>
          </w:tcPr>
          <w:p w14:paraId="47A78F1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34.787</w:t>
            </w:r>
          </w:p>
        </w:tc>
      </w:tr>
      <w:tr w14:paraId="6BAD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restart"/>
            <w:shd w:val="clear" w:color="auto" w:fill="auto"/>
            <w:vAlign w:val="center"/>
          </w:tcPr>
          <w:p w14:paraId="55637C30">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标准曲线</w:t>
            </w:r>
          </w:p>
        </w:tc>
        <w:tc>
          <w:tcPr>
            <w:tcW w:w="802" w:type="dxa"/>
            <w:shd w:val="clear" w:color="auto" w:fill="auto"/>
            <w:vAlign w:val="center"/>
          </w:tcPr>
          <w:p w14:paraId="09AE2EF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公式</w:t>
            </w:r>
          </w:p>
        </w:tc>
        <w:tc>
          <w:tcPr>
            <w:tcW w:w="2391" w:type="dxa"/>
            <w:gridSpan w:val="3"/>
            <w:shd w:val="clear" w:color="auto" w:fill="auto"/>
            <w:vAlign w:val="center"/>
          </w:tcPr>
          <w:p w14:paraId="3081757F">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y=-3.</w:t>
            </w:r>
            <w:r>
              <w:rPr>
                <w:rFonts w:hint="default" w:ascii="Times New Roman" w:hAnsi="Times New Roman" w:cs="Times New Roman"/>
                <w:b w:val="0"/>
                <w:bCs w:val="0"/>
                <w:color w:val="auto"/>
                <w:sz w:val="18"/>
                <w:szCs w:val="18"/>
                <w:highlight w:val="none"/>
                <w:lang w:val="en-US" w:eastAsia="zh-CN"/>
              </w:rPr>
              <w:t>329</w:t>
            </w:r>
            <w:r>
              <w:rPr>
                <w:rFonts w:hint="default" w:ascii="Times New Roman" w:hAnsi="Times New Roman" w:eastAsia="宋体" w:cs="Times New Roman"/>
                <w:b w:val="0"/>
                <w:bCs w:val="0"/>
                <w:color w:val="auto"/>
                <w:sz w:val="18"/>
                <w:szCs w:val="18"/>
                <w:highlight w:val="none"/>
                <w:lang w:val="en-US" w:eastAsia="zh-CN"/>
              </w:rPr>
              <w:t>x + 39.</w:t>
            </w:r>
            <w:r>
              <w:rPr>
                <w:rFonts w:hint="default" w:ascii="Times New Roman" w:hAnsi="Times New Roman" w:cs="Times New Roman"/>
                <w:b w:val="0"/>
                <w:bCs w:val="0"/>
                <w:color w:val="auto"/>
                <w:sz w:val="18"/>
                <w:szCs w:val="18"/>
                <w:highlight w:val="none"/>
                <w:lang w:val="en-US" w:eastAsia="zh-CN"/>
              </w:rPr>
              <w:t>570</w:t>
            </w:r>
          </w:p>
        </w:tc>
        <w:tc>
          <w:tcPr>
            <w:tcW w:w="2391" w:type="dxa"/>
            <w:gridSpan w:val="3"/>
            <w:shd w:val="clear" w:color="auto" w:fill="auto"/>
            <w:vAlign w:val="center"/>
          </w:tcPr>
          <w:p w14:paraId="2A6C8541">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y=-3.</w:t>
            </w:r>
            <w:r>
              <w:rPr>
                <w:rFonts w:hint="default" w:ascii="Times New Roman" w:hAnsi="Times New Roman" w:cs="Times New Roman"/>
                <w:b w:val="0"/>
                <w:bCs w:val="0"/>
                <w:color w:val="auto"/>
                <w:sz w:val="18"/>
                <w:szCs w:val="18"/>
                <w:highlight w:val="none"/>
                <w:lang w:val="en-US" w:eastAsia="zh-CN"/>
              </w:rPr>
              <w:t>261</w:t>
            </w:r>
            <w:r>
              <w:rPr>
                <w:rFonts w:hint="default" w:ascii="Times New Roman" w:hAnsi="Times New Roman" w:eastAsia="宋体" w:cs="Times New Roman"/>
                <w:b w:val="0"/>
                <w:bCs w:val="0"/>
                <w:color w:val="auto"/>
                <w:sz w:val="18"/>
                <w:szCs w:val="18"/>
                <w:highlight w:val="none"/>
                <w:lang w:val="en-US" w:eastAsia="zh-CN"/>
              </w:rPr>
              <w:t>x +</w:t>
            </w:r>
            <w:r>
              <w:rPr>
                <w:rFonts w:hint="default" w:ascii="Times New Roman" w:hAnsi="Times New Roman" w:cs="Times New Roman"/>
                <w:b w:val="0"/>
                <w:bCs w:val="0"/>
                <w:color w:val="auto"/>
                <w:sz w:val="18"/>
                <w:szCs w:val="18"/>
                <w:highlight w:val="none"/>
                <w:lang w:val="en-US" w:eastAsia="zh-CN"/>
              </w:rPr>
              <w:t>39.733</w:t>
            </w:r>
          </w:p>
        </w:tc>
        <w:tc>
          <w:tcPr>
            <w:tcW w:w="2398" w:type="dxa"/>
            <w:gridSpan w:val="5"/>
            <w:shd w:val="clear" w:color="auto" w:fill="auto"/>
            <w:vAlign w:val="center"/>
          </w:tcPr>
          <w:p w14:paraId="725F5A14">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y=-3.</w:t>
            </w:r>
            <w:r>
              <w:rPr>
                <w:rFonts w:hint="default" w:ascii="Times New Roman" w:hAnsi="Times New Roman" w:cs="Times New Roman"/>
                <w:b w:val="0"/>
                <w:bCs w:val="0"/>
                <w:color w:val="auto"/>
                <w:sz w:val="18"/>
                <w:szCs w:val="18"/>
                <w:highlight w:val="none"/>
                <w:lang w:val="en-US" w:eastAsia="zh-CN"/>
              </w:rPr>
              <w:t>289</w:t>
            </w:r>
            <w:r>
              <w:rPr>
                <w:rFonts w:hint="default" w:ascii="Times New Roman" w:hAnsi="Times New Roman" w:eastAsia="宋体" w:cs="Times New Roman"/>
                <w:b w:val="0"/>
                <w:bCs w:val="0"/>
                <w:color w:val="auto"/>
                <w:sz w:val="18"/>
                <w:szCs w:val="18"/>
                <w:highlight w:val="none"/>
                <w:lang w:val="en-US" w:eastAsia="zh-CN"/>
              </w:rPr>
              <w:t xml:space="preserve">x + </w:t>
            </w:r>
            <w:r>
              <w:rPr>
                <w:rFonts w:hint="default" w:ascii="Times New Roman" w:hAnsi="Times New Roman" w:cs="Times New Roman"/>
                <w:b w:val="0"/>
                <w:bCs w:val="0"/>
                <w:color w:val="auto"/>
                <w:sz w:val="18"/>
                <w:szCs w:val="18"/>
                <w:highlight w:val="none"/>
                <w:lang w:val="en-US" w:eastAsia="zh-CN"/>
              </w:rPr>
              <w:t>39.680</w:t>
            </w:r>
          </w:p>
        </w:tc>
      </w:tr>
      <w:tr w14:paraId="37F3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continue"/>
            <w:shd w:val="clear" w:color="auto" w:fill="auto"/>
            <w:vAlign w:val="center"/>
          </w:tcPr>
          <w:p w14:paraId="2B69D2B8">
            <w:pPr>
              <w:jc w:val="left"/>
              <w:rPr>
                <w:rFonts w:hint="default" w:ascii="Times New Roman" w:hAnsi="Times New Roman" w:eastAsia="宋体" w:cs="Times New Roman"/>
                <w:sz w:val="18"/>
                <w:szCs w:val="18"/>
              </w:rPr>
            </w:pPr>
          </w:p>
        </w:tc>
        <w:tc>
          <w:tcPr>
            <w:tcW w:w="802" w:type="dxa"/>
            <w:shd w:val="clear" w:color="auto" w:fill="auto"/>
            <w:vAlign w:val="center"/>
          </w:tcPr>
          <w:p w14:paraId="6DD6270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R</w:t>
            </w:r>
            <w:r>
              <w:rPr>
                <w:rFonts w:hint="default" w:ascii="Times New Roman" w:hAnsi="Times New Roman" w:eastAsia="宋体" w:cs="Times New Roman"/>
                <w:sz w:val="18"/>
                <w:szCs w:val="18"/>
                <w:vertAlign w:val="superscript"/>
              </w:rPr>
              <w:t>2</w:t>
            </w:r>
          </w:p>
        </w:tc>
        <w:tc>
          <w:tcPr>
            <w:tcW w:w="2391" w:type="dxa"/>
            <w:gridSpan w:val="3"/>
            <w:shd w:val="clear" w:color="auto" w:fill="auto"/>
            <w:vAlign w:val="center"/>
          </w:tcPr>
          <w:p w14:paraId="6BC92686">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color w:val="auto"/>
                <w:sz w:val="18"/>
                <w:szCs w:val="18"/>
                <w:highlight w:val="none"/>
                <w:lang w:val="en-US" w:eastAsia="zh-CN"/>
              </w:rPr>
              <w:t>0.998</w:t>
            </w:r>
          </w:p>
        </w:tc>
        <w:tc>
          <w:tcPr>
            <w:tcW w:w="2391" w:type="dxa"/>
            <w:gridSpan w:val="3"/>
            <w:shd w:val="clear" w:color="auto" w:fill="auto"/>
            <w:vAlign w:val="center"/>
          </w:tcPr>
          <w:p w14:paraId="17EF0A33">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0.99</w:t>
            </w:r>
            <w:r>
              <w:rPr>
                <w:rFonts w:hint="default" w:ascii="Times New Roman" w:hAnsi="Times New Roman" w:cs="Times New Roman"/>
                <w:b w:val="0"/>
                <w:bCs w:val="0"/>
                <w:color w:val="auto"/>
                <w:sz w:val="18"/>
                <w:szCs w:val="18"/>
                <w:highlight w:val="none"/>
                <w:lang w:val="en-US" w:eastAsia="zh-CN"/>
              </w:rPr>
              <w:t>8</w:t>
            </w:r>
          </w:p>
        </w:tc>
        <w:tc>
          <w:tcPr>
            <w:tcW w:w="2398" w:type="dxa"/>
            <w:gridSpan w:val="5"/>
            <w:shd w:val="clear" w:color="auto" w:fill="auto"/>
            <w:vAlign w:val="center"/>
          </w:tcPr>
          <w:p w14:paraId="721BB9B9">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0.99</w:t>
            </w:r>
            <w:r>
              <w:rPr>
                <w:rFonts w:hint="default" w:ascii="Times New Roman" w:hAnsi="Times New Roman" w:cs="Times New Roman"/>
                <w:b w:val="0"/>
                <w:bCs w:val="0"/>
                <w:color w:val="auto"/>
                <w:sz w:val="18"/>
                <w:szCs w:val="18"/>
                <w:highlight w:val="none"/>
                <w:lang w:val="en-US" w:eastAsia="zh-CN"/>
              </w:rPr>
              <w:t>9</w:t>
            </w:r>
          </w:p>
        </w:tc>
      </w:tr>
      <w:tr w14:paraId="6F7A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continue"/>
            <w:shd w:val="clear" w:color="auto" w:fill="auto"/>
            <w:vAlign w:val="center"/>
          </w:tcPr>
          <w:p w14:paraId="1793268B">
            <w:pPr>
              <w:jc w:val="left"/>
              <w:rPr>
                <w:rFonts w:hint="default" w:ascii="Times New Roman" w:hAnsi="Times New Roman" w:eastAsia="宋体" w:cs="Times New Roman"/>
                <w:sz w:val="18"/>
                <w:szCs w:val="18"/>
              </w:rPr>
            </w:pPr>
          </w:p>
        </w:tc>
        <w:tc>
          <w:tcPr>
            <w:tcW w:w="802" w:type="dxa"/>
            <w:shd w:val="clear" w:color="auto" w:fill="auto"/>
            <w:vAlign w:val="center"/>
          </w:tcPr>
          <w:p w14:paraId="2FD76A9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扩增效率</w:t>
            </w:r>
          </w:p>
        </w:tc>
        <w:tc>
          <w:tcPr>
            <w:tcW w:w="2391" w:type="dxa"/>
            <w:gridSpan w:val="3"/>
            <w:shd w:val="clear" w:color="auto" w:fill="auto"/>
            <w:vAlign w:val="center"/>
          </w:tcPr>
          <w:p w14:paraId="08942E34">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color w:val="auto"/>
                <w:sz w:val="18"/>
                <w:szCs w:val="18"/>
                <w:highlight w:val="none"/>
                <w:lang w:val="en-US" w:eastAsia="zh-CN"/>
              </w:rPr>
              <w:t>9</w:t>
            </w:r>
            <w:r>
              <w:rPr>
                <w:rFonts w:hint="default" w:ascii="Times New Roman" w:hAnsi="Times New Roman" w:cs="Times New Roman"/>
                <w:b w:val="0"/>
                <w:bCs w:val="0"/>
                <w:color w:val="auto"/>
                <w:sz w:val="18"/>
                <w:szCs w:val="18"/>
                <w:highlight w:val="none"/>
                <w:lang w:val="en-US" w:eastAsia="zh-CN"/>
              </w:rPr>
              <w:t>9.697</w:t>
            </w:r>
            <w:r>
              <w:rPr>
                <w:rFonts w:hint="default" w:ascii="Times New Roman" w:hAnsi="Times New Roman" w:eastAsia="宋体" w:cs="Times New Roman"/>
                <w:b w:val="0"/>
                <w:bCs w:val="0"/>
                <w:color w:val="auto"/>
                <w:sz w:val="18"/>
                <w:szCs w:val="18"/>
                <w:highlight w:val="none"/>
                <w:lang w:val="en-US" w:eastAsia="zh-CN"/>
              </w:rPr>
              <w:t>%</w:t>
            </w:r>
          </w:p>
        </w:tc>
        <w:tc>
          <w:tcPr>
            <w:tcW w:w="2391" w:type="dxa"/>
            <w:gridSpan w:val="3"/>
            <w:shd w:val="clear" w:color="auto" w:fill="auto"/>
            <w:vAlign w:val="center"/>
          </w:tcPr>
          <w:p w14:paraId="527CA6FA">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color w:val="auto"/>
                <w:sz w:val="18"/>
                <w:szCs w:val="18"/>
                <w:highlight w:val="none"/>
                <w:lang w:val="en-US" w:eastAsia="zh-CN"/>
              </w:rPr>
              <w:t>102.625</w:t>
            </w:r>
            <w:r>
              <w:rPr>
                <w:rFonts w:hint="default" w:ascii="Times New Roman" w:hAnsi="Times New Roman" w:eastAsia="宋体" w:cs="Times New Roman"/>
                <w:b w:val="0"/>
                <w:bCs w:val="0"/>
                <w:color w:val="auto"/>
                <w:sz w:val="18"/>
                <w:szCs w:val="18"/>
                <w:highlight w:val="none"/>
                <w:lang w:val="en-US" w:eastAsia="zh-CN"/>
              </w:rPr>
              <w:t>%</w:t>
            </w:r>
          </w:p>
        </w:tc>
        <w:tc>
          <w:tcPr>
            <w:tcW w:w="2398" w:type="dxa"/>
            <w:gridSpan w:val="5"/>
            <w:shd w:val="clear" w:color="auto" w:fill="auto"/>
            <w:vAlign w:val="center"/>
          </w:tcPr>
          <w:p w14:paraId="113DFEC2">
            <w:pPr>
              <w:snapToGrid w:val="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color w:val="auto"/>
                <w:sz w:val="18"/>
                <w:szCs w:val="18"/>
                <w:highlight w:val="none"/>
                <w:lang w:val="en-US" w:eastAsia="zh-CN"/>
              </w:rPr>
              <w:t>101.401</w:t>
            </w:r>
            <w:r>
              <w:rPr>
                <w:rFonts w:hint="default" w:ascii="Times New Roman" w:hAnsi="Times New Roman" w:eastAsia="宋体" w:cs="Times New Roman"/>
                <w:b w:val="0"/>
                <w:bCs w:val="0"/>
                <w:color w:val="auto"/>
                <w:sz w:val="18"/>
                <w:szCs w:val="18"/>
                <w:highlight w:val="none"/>
                <w:lang w:val="en-US" w:eastAsia="zh-CN"/>
              </w:rPr>
              <w:t>%</w:t>
            </w:r>
          </w:p>
        </w:tc>
      </w:tr>
      <w:tr w14:paraId="7B0F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5B61AD68">
            <w:pPr>
              <w:jc w:val="left"/>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（5%）</w:t>
            </w:r>
          </w:p>
        </w:tc>
        <w:tc>
          <w:tcPr>
            <w:tcW w:w="797" w:type="dxa"/>
            <w:shd w:val="clear" w:color="auto" w:fill="auto"/>
            <w:vAlign w:val="center"/>
          </w:tcPr>
          <w:p w14:paraId="3F1FC73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29.020</w:t>
            </w:r>
          </w:p>
        </w:tc>
        <w:tc>
          <w:tcPr>
            <w:tcW w:w="797" w:type="dxa"/>
            <w:shd w:val="clear" w:color="auto" w:fill="auto"/>
            <w:vAlign w:val="center"/>
          </w:tcPr>
          <w:p w14:paraId="0554128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29.009</w:t>
            </w:r>
          </w:p>
        </w:tc>
        <w:tc>
          <w:tcPr>
            <w:tcW w:w="797" w:type="dxa"/>
            <w:shd w:val="clear" w:color="auto" w:fill="auto"/>
            <w:vAlign w:val="center"/>
          </w:tcPr>
          <w:p w14:paraId="08A7C16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28.810</w:t>
            </w:r>
          </w:p>
        </w:tc>
        <w:tc>
          <w:tcPr>
            <w:tcW w:w="797" w:type="dxa"/>
            <w:shd w:val="clear" w:color="auto" w:fill="auto"/>
            <w:vAlign w:val="center"/>
          </w:tcPr>
          <w:p w14:paraId="5831580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30.042</w:t>
            </w:r>
          </w:p>
        </w:tc>
        <w:tc>
          <w:tcPr>
            <w:tcW w:w="797" w:type="dxa"/>
            <w:shd w:val="clear" w:color="auto" w:fill="auto"/>
            <w:vAlign w:val="center"/>
          </w:tcPr>
          <w:p w14:paraId="405C5F3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29.941</w:t>
            </w:r>
          </w:p>
        </w:tc>
        <w:tc>
          <w:tcPr>
            <w:tcW w:w="797" w:type="dxa"/>
            <w:shd w:val="clear" w:color="auto" w:fill="auto"/>
            <w:vAlign w:val="center"/>
          </w:tcPr>
          <w:p w14:paraId="43EBFB0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30.007</w:t>
            </w:r>
          </w:p>
        </w:tc>
        <w:tc>
          <w:tcPr>
            <w:tcW w:w="803" w:type="dxa"/>
            <w:gridSpan w:val="2"/>
            <w:shd w:val="clear" w:color="auto" w:fill="auto"/>
            <w:vAlign w:val="center"/>
          </w:tcPr>
          <w:p w14:paraId="6129F11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30.008</w:t>
            </w:r>
          </w:p>
        </w:tc>
        <w:tc>
          <w:tcPr>
            <w:tcW w:w="797" w:type="dxa"/>
            <w:gridSpan w:val="2"/>
            <w:shd w:val="clear" w:color="auto" w:fill="auto"/>
            <w:vAlign w:val="center"/>
          </w:tcPr>
          <w:p w14:paraId="62E3080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29.972</w:t>
            </w:r>
          </w:p>
        </w:tc>
        <w:tc>
          <w:tcPr>
            <w:tcW w:w="798" w:type="dxa"/>
            <w:shd w:val="clear" w:color="auto" w:fill="auto"/>
            <w:vAlign w:val="center"/>
          </w:tcPr>
          <w:p w14:paraId="40D7437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30.028</w:t>
            </w:r>
          </w:p>
        </w:tc>
      </w:tr>
      <w:tr w14:paraId="3704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463E59AC">
            <w:pPr>
              <w:jc w:val="left"/>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（3%）</w:t>
            </w:r>
          </w:p>
        </w:tc>
        <w:tc>
          <w:tcPr>
            <w:tcW w:w="797" w:type="dxa"/>
            <w:shd w:val="clear" w:color="auto" w:fill="auto"/>
            <w:vAlign w:val="center"/>
          </w:tcPr>
          <w:p w14:paraId="28782CC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29.601</w:t>
            </w:r>
          </w:p>
        </w:tc>
        <w:tc>
          <w:tcPr>
            <w:tcW w:w="797" w:type="dxa"/>
            <w:shd w:val="clear" w:color="auto" w:fill="auto"/>
            <w:vAlign w:val="center"/>
          </w:tcPr>
          <w:p w14:paraId="58731D5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29.640</w:t>
            </w:r>
          </w:p>
        </w:tc>
        <w:tc>
          <w:tcPr>
            <w:tcW w:w="797" w:type="dxa"/>
            <w:shd w:val="clear" w:color="auto" w:fill="auto"/>
            <w:vAlign w:val="center"/>
          </w:tcPr>
          <w:p w14:paraId="65EE110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29.718</w:t>
            </w:r>
          </w:p>
        </w:tc>
        <w:tc>
          <w:tcPr>
            <w:tcW w:w="797" w:type="dxa"/>
            <w:shd w:val="clear" w:color="auto" w:fill="auto"/>
            <w:vAlign w:val="center"/>
          </w:tcPr>
          <w:p w14:paraId="7366F21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30.717</w:t>
            </w:r>
          </w:p>
        </w:tc>
        <w:tc>
          <w:tcPr>
            <w:tcW w:w="797" w:type="dxa"/>
            <w:shd w:val="clear" w:color="auto" w:fill="auto"/>
            <w:vAlign w:val="center"/>
          </w:tcPr>
          <w:p w14:paraId="5014578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30.780</w:t>
            </w:r>
          </w:p>
        </w:tc>
        <w:tc>
          <w:tcPr>
            <w:tcW w:w="797" w:type="dxa"/>
            <w:shd w:val="clear" w:color="auto" w:fill="auto"/>
            <w:vAlign w:val="center"/>
          </w:tcPr>
          <w:p w14:paraId="270AAF7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30.937</w:t>
            </w:r>
          </w:p>
        </w:tc>
        <w:tc>
          <w:tcPr>
            <w:tcW w:w="803" w:type="dxa"/>
            <w:gridSpan w:val="2"/>
            <w:shd w:val="clear" w:color="auto" w:fill="auto"/>
            <w:vAlign w:val="center"/>
          </w:tcPr>
          <w:p w14:paraId="06A6285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30.833</w:t>
            </w:r>
          </w:p>
        </w:tc>
        <w:tc>
          <w:tcPr>
            <w:tcW w:w="797" w:type="dxa"/>
            <w:gridSpan w:val="2"/>
            <w:shd w:val="clear" w:color="auto" w:fill="auto"/>
            <w:vAlign w:val="center"/>
          </w:tcPr>
          <w:p w14:paraId="2A3E2EA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30.921</w:t>
            </w:r>
          </w:p>
        </w:tc>
        <w:tc>
          <w:tcPr>
            <w:tcW w:w="798" w:type="dxa"/>
            <w:shd w:val="clear" w:color="auto" w:fill="auto"/>
            <w:vAlign w:val="center"/>
          </w:tcPr>
          <w:p w14:paraId="31C772E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30.853</w:t>
            </w:r>
          </w:p>
        </w:tc>
      </w:tr>
      <w:tr w14:paraId="5EE2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64E86D09">
            <w:pPr>
              <w:jc w:val="left"/>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（1%）</w:t>
            </w:r>
          </w:p>
        </w:tc>
        <w:tc>
          <w:tcPr>
            <w:tcW w:w="797" w:type="dxa"/>
            <w:shd w:val="clear" w:color="auto" w:fill="auto"/>
            <w:vAlign w:val="center"/>
          </w:tcPr>
          <w:p w14:paraId="119065F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31.674</w:t>
            </w:r>
          </w:p>
        </w:tc>
        <w:tc>
          <w:tcPr>
            <w:tcW w:w="797" w:type="dxa"/>
            <w:shd w:val="clear" w:color="auto" w:fill="auto"/>
            <w:vAlign w:val="center"/>
          </w:tcPr>
          <w:p w14:paraId="4790E00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31.950</w:t>
            </w:r>
          </w:p>
        </w:tc>
        <w:tc>
          <w:tcPr>
            <w:tcW w:w="797" w:type="dxa"/>
            <w:shd w:val="clear" w:color="auto" w:fill="auto"/>
            <w:vAlign w:val="center"/>
          </w:tcPr>
          <w:p w14:paraId="370A97B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31.855</w:t>
            </w:r>
          </w:p>
        </w:tc>
        <w:tc>
          <w:tcPr>
            <w:tcW w:w="797" w:type="dxa"/>
            <w:shd w:val="clear" w:color="auto" w:fill="auto"/>
            <w:vAlign w:val="center"/>
          </w:tcPr>
          <w:p w14:paraId="579F0A3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31.808</w:t>
            </w:r>
          </w:p>
        </w:tc>
        <w:tc>
          <w:tcPr>
            <w:tcW w:w="797" w:type="dxa"/>
            <w:shd w:val="clear" w:color="auto" w:fill="auto"/>
            <w:vAlign w:val="center"/>
          </w:tcPr>
          <w:p w14:paraId="053C2A7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31.748</w:t>
            </w:r>
          </w:p>
        </w:tc>
        <w:tc>
          <w:tcPr>
            <w:tcW w:w="797" w:type="dxa"/>
            <w:shd w:val="clear" w:color="auto" w:fill="auto"/>
            <w:vAlign w:val="center"/>
          </w:tcPr>
          <w:p w14:paraId="1AF1129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31.846</w:t>
            </w:r>
          </w:p>
        </w:tc>
        <w:tc>
          <w:tcPr>
            <w:tcW w:w="803" w:type="dxa"/>
            <w:gridSpan w:val="2"/>
            <w:shd w:val="clear" w:color="auto" w:fill="auto"/>
            <w:vAlign w:val="center"/>
          </w:tcPr>
          <w:p w14:paraId="437F8BC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31.747</w:t>
            </w:r>
          </w:p>
        </w:tc>
        <w:tc>
          <w:tcPr>
            <w:tcW w:w="797" w:type="dxa"/>
            <w:gridSpan w:val="2"/>
            <w:shd w:val="clear" w:color="auto" w:fill="auto"/>
            <w:vAlign w:val="center"/>
          </w:tcPr>
          <w:p w14:paraId="740BCE3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31.636</w:t>
            </w:r>
          </w:p>
        </w:tc>
        <w:tc>
          <w:tcPr>
            <w:tcW w:w="798" w:type="dxa"/>
            <w:shd w:val="clear" w:color="auto" w:fill="auto"/>
            <w:vAlign w:val="center"/>
          </w:tcPr>
          <w:p w14:paraId="5E5DC8D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32.182</w:t>
            </w:r>
          </w:p>
        </w:tc>
      </w:tr>
      <w:tr w14:paraId="19C8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634F793F">
            <w:pPr>
              <w:jc w:val="left"/>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（0.5%）</w:t>
            </w:r>
          </w:p>
        </w:tc>
        <w:tc>
          <w:tcPr>
            <w:tcW w:w="797" w:type="dxa"/>
            <w:shd w:val="clear" w:color="auto" w:fill="auto"/>
            <w:vAlign w:val="center"/>
          </w:tcPr>
          <w:p w14:paraId="1BE902B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32.293</w:t>
            </w:r>
          </w:p>
        </w:tc>
        <w:tc>
          <w:tcPr>
            <w:tcW w:w="797" w:type="dxa"/>
            <w:shd w:val="clear" w:color="auto" w:fill="auto"/>
            <w:vAlign w:val="center"/>
          </w:tcPr>
          <w:p w14:paraId="50E612C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32.707</w:t>
            </w:r>
          </w:p>
        </w:tc>
        <w:tc>
          <w:tcPr>
            <w:tcW w:w="797" w:type="dxa"/>
            <w:shd w:val="clear" w:color="auto" w:fill="auto"/>
            <w:vAlign w:val="center"/>
          </w:tcPr>
          <w:p w14:paraId="76398A0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32.243</w:t>
            </w:r>
          </w:p>
        </w:tc>
        <w:tc>
          <w:tcPr>
            <w:tcW w:w="797" w:type="dxa"/>
            <w:shd w:val="clear" w:color="auto" w:fill="auto"/>
            <w:vAlign w:val="center"/>
          </w:tcPr>
          <w:p w14:paraId="3894EE8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32.392</w:t>
            </w:r>
          </w:p>
        </w:tc>
        <w:tc>
          <w:tcPr>
            <w:tcW w:w="797" w:type="dxa"/>
            <w:shd w:val="clear" w:color="auto" w:fill="auto"/>
            <w:vAlign w:val="center"/>
          </w:tcPr>
          <w:p w14:paraId="32E57D7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32.516</w:t>
            </w:r>
          </w:p>
        </w:tc>
        <w:tc>
          <w:tcPr>
            <w:tcW w:w="797" w:type="dxa"/>
            <w:shd w:val="clear" w:color="auto" w:fill="auto"/>
            <w:vAlign w:val="center"/>
          </w:tcPr>
          <w:p w14:paraId="11C9B01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32.557</w:t>
            </w:r>
          </w:p>
        </w:tc>
        <w:tc>
          <w:tcPr>
            <w:tcW w:w="803" w:type="dxa"/>
            <w:gridSpan w:val="2"/>
            <w:shd w:val="clear" w:color="auto" w:fill="auto"/>
            <w:vAlign w:val="center"/>
          </w:tcPr>
          <w:p w14:paraId="73D7B61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32.259</w:t>
            </w:r>
          </w:p>
        </w:tc>
        <w:tc>
          <w:tcPr>
            <w:tcW w:w="797" w:type="dxa"/>
            <w:gridSpan w:val="2"/>
            <w:shd w:val="clear" w:color="auto" w:fill="auto"/>
            <w:vAlign w:val="center"/>
          </w:tcPr>
          <w:p w14:paraId="6F31C23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32.857</w:t>
            </w:r>
          </w:p>
        </w:tc>
        <w:tc>
          <w:tcPr>
            <w:tcW w:w="798" w:type="dxa"/>
            <w:shd w:val="clear" w:color="auto" w:fill="auto"/>
            <w:vAlign w:val="center"/>
          </w:tcPr>
          <w:p w14:paraId="2798C50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32.379</w:t>
            </w:r>
          </w:p>
        </w:tc>
      </w:tr>
      <w:tr w14:paraId="6220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gridSpan w:val="2"/>
            <w:shd w:val="clear" w:color="auto" w:fill="auto"/>
            <w:vAlign w:val="center"/>
          </w:tcPr>
          <w:p w14:paraId="32C71030">
            <w:pPr>
              <w:jc w:val="left"/>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（0.1%）</w:t>
            </w:r>
          </w:p>
        </w:tc>
        <w:tc>
          <w:tcPr>
            <w:tcW w:w="797" w:type="dxa"/>
            <w:shd w:val="clear" w:color="auto" w:fill="auto"/>
            <w:vAlign w:val="center"/>
          </w:tcPr>
          <w:p w14:paraId="4B5D30A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35.058</w:t>
            </w:r>
          </w:p>
        </w:tc>
        <w:tc>
          <w:tcPr>
            <w:tcW w:w="797" w:type="dxa"/>
            <w:shd w:val="clear" w:color="auto" w:fill="auto"/>
            <w:vAlign w:val="center"/>
          </w:tcPr>
          <w:p w14:paraId="2D07552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34.684</w:t>
            </w:r>
          </w:p>
        </w:tc>
        <w:tc>
          <w:tcPr>
            <w:tcW w:w="797" w:type="dxa"/>
            <w:shd w:val="clear" w:color="auto" w:fill="auto"/>
            <w:vAlign w:val="center"/>
          </w:tcPr>
          <w:p w14:paraId="6CCBE59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34.807</w:t>
            </w:r>
          </w:p>
        </w:tc>
        <w:tc>
          <w:tcPr>
            <w:tcW w:w="797" w:type="dxa"/>
            <w:shd w:val="clear" w:color="auto" w:fill="auto"/>
            <w:vAlign w:val="center"/>
          </w:tcPr>
          <w:p w14:paraId="5AB286C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34.877</w:t>
            </w:r>
          </w:p>
        </w:tc>
        <w:tc>
          <w:tcPr>
            <w:tcW w:w="797" w:type="dxa"/>
            <w:shd w:val="clear" w:color="auto" w:fill="auto"/>
            <w:vAlign w:val="center"/>
          </w:tcPr>
          <w:p w14:paraId="551D283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34.601</w:t>
            </w:r>
          </w:p>
        </w:tc>
        <w:tc>
          <w:tcPr>
            <w:tcW w:w="797" w:type="dxa"/>
            <w:shd w:val="clear" w:color="auto" w:fill="auto"/>
            <w:vAlign w:val="center"/>
          </w:tcPr>
          <w:p w14:paraId="2A7333D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34.904</w:t>
            </w:r>
          </w:p>
        </w:tc>
        <w:tc>
          <w:tcPr>
            <w:tcW w:w="803" w:type="dxa"/>
            <w:gridSpan w:val="2"/>
            <w:shd w:val="clear" w:color="auto" w:fill="auto"/>
            <w:vAlign w:val="center"/>
          </w:tcPr>
          <w:p w14:paraId="0390650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34.704</w:t>
            </w:r>
          </w:p>
        </w:tc>
        <w:tc>
          <w:tcPr>
            <w:tcW w:w="797" w:type="dxa"/>
            <w:gridSpan w:val="2"/>
            <w:shd w:val="clear" w:color="auto" w:fill="auto"/>
            <w:vAlign w:val="center"/>
          </w:tcPr>
          <w:p w14:paraId="19E8BAD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34.362</w:t>
            </w:r>
          </w:p>
        </w:tc>
        <w:tc>
          <w:tcPr>
            <w:tcW w:w="798" w:type="dxa"/>
            <w:shd w:val="clear" w:color="auto" w:fill="auto"/>
            <w:vAlign w:val="center"/>
          </w:tcPr>
          <w:p w14:paraId="5C83185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34.545</w:t>
            </w:r>
          </w:p>
        </w:tc>
      </w:tr>
    </w:tbl>
    <w:p w14:paraId="29F5958A">
      <w:pPr>
        <w:rPr>
          <w:rFonts w:hint="default" w:ascii="Times New Roman" w:hAnsi="Times New Roman" w:eastAsia="宋体" w:cs="Times New Roman"/>
          <w:b/>
          <w:sz w:val="18"/>
          <w:szCs w:val="18"/>
        </w:rPr>
      </w:pPr>
      <w:r>
        <w:rPr>
          <w:rFonts w:hint="default" w:ascii="Times New Roman" w:hAnsi="Times New Roman" w:eastAsia="宋体" w:cs="Times New Roman"/>
          <w:bCs/>
          <w:sz w:val="18"/>
          <w:szCs w:val="18"/>
        </w:rPr>
        <w:t>注1：标准曲线公式 y=ax + b ,式中以</w:t>
      </w:r>
      <w:r>
        <w:rPr>
          <w:rFonts w:hint="default" w:ascii="Times New Roman" w:hAnsi="Times New Roman" w:eastAsia="宋体" w:cs="Times New Roman"/>
          <w:bCs/>
          <w:i/>
          <w:iCs/>
          <w:sz w:val="18"/>
          <w:szCs w:val="18"/>
        </w:rPr>
        <w:t>Ct</w:t>
      </w:r>
      <w:r>
        <w:rPr>
          <w:rFonts w:hint="default" w:ascii="Times New Roman" w:hAnsi="Times New Roman" w:eastAsia="宋体" w:cs="Times New Roman"/>
          <w:bCs/>
          <w:sz w:val="18"/>
          <w:szCs w:val="18"/>
        </w:rPr>
        <w:t>值作为y轴，以拷贝数的对数作为x轴</w:t>
      </w:r>
      <w:r>
        <w:rPr>
          <w:rFonts w:hint="default" w:ascii="Times New Roman" w:hAnsi="Times New Roman" w:eastAsia="宋体" w:cs="Times New Roman"/>
          <w:b/>
          <w:sz w:val="18"/>
          <w:szCs w:val="18"/>
        </w:rPr>
        <w:t>。</w:t>
      </w:r>
    </w:p>
    <w:p w14:paraId="241ED796">
      <w:pP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注2</w:t>
      </w:r>
      <w:r>
        <w:rPr>
          <w:rFonts w:hint="default" w:ascii="Times New Roman" w:hAnsi="Times New Roman" w:eastAsia="宋体" w:cs="Times New Roman"/>
          <w:b/>
          <w:sz w:val="18"/>
          <w:szCs w:val="18"/>
        </w:rPr>
        <w:t>：</w:t>
      </w:r>
      <w:r>
        <w:rPr>
          <w:rFonts w:hint="default" w:ascii="Times New Roman" w:hAnsi="Times New Roman" w:eastAsia="宋体" w:cs="Times New Roman"/>
          <w:bCs/>
          <w:sz w:val="18"/>
          <w:szCs w:val="18"/>
        </w:rPr>
        <w:t>标准曲线斜率须在-3.6到-3.1，R</w:t>
      </w:r>
      <w:r>
        <w:rPr>
          <w:rFonts w:hint="default" w:ascii="Times New Roman" w:hAnsi="Times New Roman" w:eastAsia="宋体" w:cs="Times New Roman"/>
          <w:bCs/>
          <w:sz w:val="18"/>
          <w:szCs w:val="18"/>
          <w:vertAlign w:val="superscript"/>
        </w:rPr>
        <w:t>2</w:t>
      </w:r>
      <w:r>
        <w:rPr>
          <w:rFonts w:hint="default" w:ascii="Times New Roman" w:hAnsi="Times New Roman" w:eastAsia="宋体" w:cs="Times New Roman"/>
          <w:bCs/>
          <w:sz w:val="18"/>
          <w:szCs w:val="18"/>
        </w:rPr>
        <w:t>值大于等于0.98，扩增效率90%到110%。</w:t>
      </w:r>
    </w:p>
    <w:p w14:paraId="0A32BFA6">
      <w:pPr>
        <w:rPr>
          <w:rFonts w:hint="default" w:ascii="Times New Roman" w:hAnsi="Times New Roman" w:eastAsia="宋体" w:cs="Times New Roman"/>
          <w:bCs/>
          <w:sz w:val="18"/>
          <w:szCs w:val="18"/>
        </w:rPr>
      </w:pPr>
    </w:p>
    <w:p w14:paraId="327EC437">
      <w:pPr>
        <w:jc w:val="center"/>
        <w:rPr>
          <w:rFonts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2-15</w:t>
      </w:r>
      <w:r>
        <w:rPr>
          <w:rFonts w:ascii="Times New Roman" w:hAnsi="Times New Roman" w:eastAsia="黑体" w:cs="Calibri"/>
          <w:kern w:val="2"/>
          <w:sz w:val="18"/>
          <w:szCs w:val="22"/>
          <w:lang w:val="en-US" w:eastAsia="zh-CN" w:bidi="ar-SA"/>
        </w:rPr>
        <w:t xml:space="preserve"> 试样检测数据汇总统计（拷贝数比值）</w:t>
      </w:r>
    </w:p>
    <w:tbl>
      <w:tblPr>
        <w:tblStyle w:val="17"/>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045"/>
        <w:gridCol w:w="1867"/>
        <w:gridCol w:w="2346"/>
        <w:gridCol w:w="1614"/>
      </w:tblGrid>
      <w:tr w14:paraId="01E9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9" w:type="dxa"/>
            <w:gridSpan w:val="2"/>
            <w:vAlign w:val="center"/>
          </w:tcPr>
          <w:p w14:paraId="3E0849F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样品名称/编号</w:t>
            </w:r>
          </w:p>
        </w:tc>
        <w:tc>
          <w:tcPr>
            <w:tcW w:w="1867" w:type="dxa"/>
            <w:vAlign w:val="center"/>
          </w:tcPr>
          <w:p w14:paraId="0A7268F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sz w:val="18"/>
                <w:szCs w:val="18"/>
              </w:rPr>
              <w:t>zSSIIb</w:t>
            </w:r>
            <w:r>
              <w:rPr>
                <w:rFonts w:hint="default" w:ascii="Times New Roman" w:hAnsi="Times New Roman" w:eastAsia="宋体" w:cs="Times New Roman"/>
                <w:b/>
                <w:bCs/>
                <w:sz w:val="18"/>
                <w:szCs w:val="18"/>
              </w:rPr>
              <w:t>基因拷贝数</w:t>
            </w:r>
          </w:p>
        </w:tc>
        <w:tc>
          <w:tcPr>
            <w:tcW w:w="2346" w:type="dxa"/>
            <w:vAlign w:val="center"/>
          </w:tcPr>
          <w:p w14:paraId="20736275">
            <w:pPr>
              <w:jc w:val="center"/>
              <w:rPr>
                <w:rFonts w:hint="default" w:ascii="Times New Roman" w:hAnsi="Times New Roman" w:eastAsia="宋体" w:cs="Times New Roman"/>
                <w:b/>
                <w:bCs/>
                <w:sz w:val="18"/>
                <w:szCs w:val="18"/>
              </w:rPr>
            </w:pPr>
            <w:r>
              <w:rPr>
                <w:rFonts w:hint="eastAsia" w:cs="Times New Roman"/>
                <w:b/>
                <w:bCs/>
                <w:sz w:val="18"/>
                <w:szCs w:val="18"/>
                <w:lang w:eastAsia="zh-CN"/>
              </w:rPr>
              <w:t>QY2569-42</w:t>
            </w:r>
            <w:r>
              <w:rPr>
                <w:rFonts w:hint="default" w:ascii="Times New Roman" w:hAnsi="Times New Roman" w:eastAsia="宋体" w:cs="Times New Roman"/>
                <w:b/>
                <w:bCs/>
                <w:sz w:val="18"/>
                <w:szCs w:val="18"/>
              </w:rPr>
              <w:t>转化体拷贝数</w:t>
            </w:r>
          </w:p>
        </w:tc>
        <w:tc>
          <w:tcPr>
            <w:tcW w:w="1614" w:type="dxa"/>
            <w:vAlign w:val="center"/>
          </w:tcPr>
          <w:p w14:paraId="1CDD2E6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拷贝数比值（%）</w:t>
            </w:r>
          </w:p>
        </w:tc>
      </w:tr>
      <w:tr w14:paraId="3619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restart"/>
            <w:vAlign w:val="center"/>
          </w:tcPr>
          <w:p w14:paraId="29DF1A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045" w:type="dxa"/>
            <w:vAlign w:val="center"/>
          </w:tcPr>
          <w:p w14:paraId="754CA3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867" w:type="dxa"/>
            <w:vAlign w:val="bottom"/>
          </w:tcPr>
          <w:p w14:paraId="7A3D63E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30990.264 </w:t>
            </w:r>
          </w:p>
        </w:tc>
        <w:tc>
          <w:tcPr>
            <w:tcW w:w="2346" w:type="dxa"/>
            <w:vAlign w:val="bottom"/>
          </w:tcPr>
          <w:p w14:paraId="07F1FCC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1555.721 </w:t>
            </w:r>
          </w:p>
        </w:tc>
        <w:tc>
          <w:tcPr>
            <w:tcW w:w="1614" w:type="dxa"/>
            <w:vAlign w:val="bottom"/>
          </w:tcPr>
          <w:p w14:paraId="6B796E5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5.02</w:t>
            </w:r>
          </w:p>
        </w:tc>
      </w:tr>
      <w:tr w14:paraId="6CFC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5AAF3441">
            <w:pPr>
              <w:jc w:val="center"/>
              <w:rPr>
                <w:rFonts w:hint="default" w:ascii="Times New Roman" w:hAnsi="Times New Roman" w:eastAsia="宋体" w:cs="Times New Roman"/>
                <w:sz w:val="18"/>
                <w:szCs w:val="18"/>
              </w:rPr>
            </w:pPr>
          </w:p>
        </w:tc>
        <w:tc>
          <w:tcPr>
            <w:tcW w:w="1045" w:type="dxa"/>
            <w:vAlign w:val="center"/>
          </w:tcPr>
          <w:p w14:paraId="3F2833F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867" w:type="dxa"/>
            <w:vAlign w:val="bottom"/>
          </w:tcPr>
          <w:p w14:paraId="671839A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31872.807 </w:t>
            </w:r>
          </w:p>
        </w:tc>
        <w:tc>
          <w:tcPr>
            <w:tcW w:w="2346" w:type="dxa"/>
            <w:vAlign w:val="bottom"/>
          </w:tcPr>
          <w:p w14:paraId="44AD1E5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1569.743 </w:t>
            </w:r>
          </w:p>
        </w:tc>
        <w:tc>
          <w:tcPr>
            <w:tcW w:w="1614" w:type="dxa"/>
            <w:vAlign w:val="bottom"/>
          </w:tcPr>
          <w:p w14:paraId="4D9D92D2">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4.93</w:t>
            </w:r>
          </w:p>
        </w:tc>
      </w:tr>
      <w:tr w14:paraId="62F1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3961C3E7">
            <w:pPr>
              <w:jc w:val="center"/>
              <w:rPr>
                <w:rFonts w:hint="default" w:ascii="Times New Roman" w:hAnsi="Times New Roman" w:eastAsia="宋体" w:cs="Times New Roman"/>
                <w:sz w:val="18"/>
                <w:szCs w:val="18"/>
              </w:rPr>
            </w:pPr>
          </w:p>
        </w:tc>
        <w:tc>
          <w:tcPr>
            <w:tcW w:w="1045" w:type="dxa"/>
            <w:vAlign w:val="center"/>
          </w:tcPr>
          <w:p w14:paraId="45F7B1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867" w:type="dxa"/>
            <w:vAlign w:val="bottom"/>
          </w:tcPr>
          <w:p w14:paraId="4AF88D4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30950.697 </w:t>
            </w:r>
          </w:p>
        </w:tc>
        <w:tc>
          <w:tcPr>
            <w:tcW w:w="2346" w:type="dxa"/>
            <w:vAlign w:val="bottom"/>
          </w:tcPr>
          <w:p w14:paraId="772BB64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1608.082 </w:t>
            </w:r>
          </w:p>
        </w:tc>
        <w:tc>
          <w:tcPr>
            <w:tcW w:w="1614" w:type="dxa"/>
            <w:vAlign w:val="bottom"/>
          </w:tcPr>
          <w:p w14:paraId="27FADB5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5.20</w:t>
            </w:r>
          </w:p>
        </w:tc>
      </w:tr>
      <w:tr w14:paraId="3526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restart"/>
            <w:vAlign w:val="center"/>
          </w:tcPr>
          <w:p w14:paraId="45E89AC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045" w:type="dxa"/>
            <w:vAlign w:val="center"/>
          </w:tcPr>
          <w:p w14:paraId="1BF35E7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867" w:type="dxa"/>
            <w:vAlign w:val="bottom"/>
          </w:tcPr>
          <w:p w14:paraId="3E9E3E2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32464.133 </w:t>
            </w:r>
          </w:p>
        </w:tc>
        <w:tc>
          <w:tcPr>
            <w:tcW w:w="2346" w:type="dxa"/>
            <w:vAlign w:val="bottom"/>
          </w:tcPr>
          <w:p w14:paraId="21440B95">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952.523 </w:t>
            </w:r>
          </w:p>
        </w:tc>
        <w:tc>
          <w:tcPr>
            <w:tcW w:w="1614" w:type="dxa"/>
            <w:vAlign w:val="bottom"/>
          </w:tcPr>
          <w:p w14:paraId="4DAB527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2.93</w:t>
            </w:r>
          </w:p>
        </w:tc>
      </w:tr>
      <w:tr w14:paraId="0931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02B57B39">
            <w:pPr>
              <w:jc w:val="center"/>
              <w:rPr>
                <w:rFonts w:hint="default" w:ascii="Times New Roman" w:hAnsi="Times New Roman" w:eastAsia="宋体" w:cs="Times New Roman"/>
                <w:sz w:val="18"/>
                <w:szCs w:val="18"/>
              </w:rPr>
            </w:pPr>
          </w:p>
        </w:tc>
        <w:tc>
          <w:tcPr>
            <w:tcW w:w="1045" w:type="dxa"/>
            <w:vAlign w:val="center"/>
          </w:tcPr>
          <w:p w14:paraId="5DC09C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867" w:type="dxa"/>
            <w:shd w:val="clear" w:color="auto" w:fill="auto"/>
            <w:vAlign w:val="bottom"/>
          </w:tcPr>
          <w:p w14:paraId="28EDCA2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33107.191 </w:t>
            </w:r>
          </w:p>
        </w:tc>
        <w:tc>
          <w:tcPr>
            <w:tcW w:w="2346" w:type="dxa"/>
            <w:shd w:val="clear" w:color="auto" w:fill="auto"/>
            <w:vAlign w:val="bottom"/>
          </w:tcPr>
          <w:p w14:paraId="49CEA98A">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1020.417 </w:t>
            </w:r>
          </w:p>
        </w:tc>
        <w:tc>
          <w:tcPr>
            <w:tcW w:w="1614" w:type="dxa"/>
            <w:vAlign w:val="bottom"/>
          </w:tcPr>
          <w:p w14:paraId="07A9A46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3.08</w:t>
            </w:r>
          </w:p>
        </w:tc>
      </w:tr>
      <w:tr w14:paraId="5A79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3F36EC74">
            <w:pPr>
              <w:jc w:val="center"/>
              <w:rPr>
                <w:rFonts w:hint="default" w:ascii="Times New Roman" w:hAnsi="Times New Roman" w:eastAsia="宋体" w:cs="Times New Roman"/>
                <w:sz w:val="18"/>
                <w:szCs w:val="18"/>
              </w:rPr>
            </w:pPr>
          </w:p>
        </w:tc>
        <w:tc>
          <w:tcPr>
            <w:tcW w:w="1045" w:type="dxa"/>
            <w:vAlign w:val="center"/>
          </w:tcPr>
          <w:p w14:paraId="7B5EB7B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867" w:type="dxa"/>
            <w:vAlign w:val="bottom"/>
          </w:tcPr>
          <w:p w14:paraId="2D781F9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32326.041 </w:t>
            </w:r>
          </w:p>
        </w:tc>
        <w:tc>
          <w:tcPr>
            <w:tcW w:w="2346" w:type="dxa"/>
            <w:vAlign w:val="bottom"/>
          </w:tcPr>
          <w:p w14:paraId="6BE02BE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941.608 </w:t>
            </w:r>
          </w:p>
        </w:tc>
        <w:tc>
          <w:tcPr>
            <w:tcW w:w="1614" w:type="dxa"/>
            <w:vAlign w:val="bottom"/>
          </w:tcPr>
          <w:p w14:paraId="2092061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2.91</w:t>
            </w:r>
          </w:p>
        </w:tc>
      </w:tr>
      <w:tr w14:paraId="3551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restart"/>
            <w:vAlign w:val="center"/>
          </w:tcPr>
          <w:p w14:paraId="12AF37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045" w:type="dxa"/>
            <w:vAlign w:val="center"/>
          </w:tcPr>
          <w:p w14:paraId="7D8B866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867" w:type="dxa"/>
            <w:vAlign w:val="bottom"/>
          </w:tcPr>
          <w:p w14:paraId="63C6D56C">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29965.875 </w:t>
            </w:r>
          </w:p>
        </w:tc>
        <w:tc>
          <w:tcPr>
            <w:tcW w:w="2346" w:type="dxa"/>
            <w:vAlign w:val="bottom"/>
          </w:tcPr>
          <w:p w14:paraId="62D2F00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266.863</w:t>
            </w:r>
          </w:p>
        </w:tc>
        <w:tc>
          <w:tcPr>
            <w:tcW w:w="1614" w:type="dxa"/>
            <w:vAlign w:val="bottom"/>
          </w:tcPr>
          <w:p w14:paraId="236CCD2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0.89</w:t>
            </w:r>
          </w:p>
        </w:tc>
      </w:tr>
      <w:tr w14:paraId="548E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6D6D47B6">
            <w:pPr>
              <w:jc w:val="center"/>
              <w:rPr>
                <w:rFonts w:hint="default" w:ascii="Times New Roman" w:hAnsi="Times New Roman" w:eastAsia="宋体" w:cs="Times New Roman"/>
                <w:sz w:val="18"/>
                <w:szCs w:val="18"/>
              </w:rPr>
            </w:pPr>
          </w:p>
        </w:tc>
        <w:tc>
          <w:tcPr>
            <w:tcW w:w="1045" w:type="dxa"/>
            <w:vAlign w:val="center"/>
          </w:tcPr>
          <w:p w14:paraId="6BB12A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867" w:type="dxa"/>
            <w:vAlign w:val="bottom"/>
          </w:tcPr>
          <w:p w14:paraId="771653D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29322.602 </w:t>
            </w:r>
          </w:p>
        </w:tc>
        <w:tc>
          <w:tcPr>
            <w:tcW w:w="2346" w:type="dxa"/>
            <w:vAlign w:val="bottom"/>
          </w:tcPr>
          <w:p w14:paraId="00B48D3E">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270.970</w:t>
            </w:r>
          </w:p>
        </w:tc>
        <w:tc>
          <w:tcPr>
            <w:tcW w:w="1614" w:type="dxa"/>
            <w:vAlign w:val="bottom"/>
          </w:tcPr>
          <w:p w14:paraId="337F4D2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0.92</w:t>
            </w:r>
          </w:p>
        </w:tc>
      </w:tr>
      <w:tr w14:paraId="27B9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1E0AE428">
            <w:pPr>
              <w:jc w:val="center"/>
              <w:rPr>
                <w:rFonts w:hint="default" w:ascii="Times New Roman" w:hAnsi="Times New Roman" w:eastAsia="宋体" w:cs="Times New Roman"/>
                <w:sz w:val="18"/>
                <w:szCs w:val="18"/>
              </w:rPr>
            </w:pPr>
          </w:p>
        </w:tc>
        <w:tc>
          <w:tcPr>
            <w:tcW w:w="1045" w:type="dxa"/>
            <w:vAlign w:val="center"/>
          </w:tcPr>
          <w:p w14:paraId="1A59EB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867" w:type="dxa"/>
            <w:vAlign w:val="bottom"/>
          </w:tcPr>
          <w:p w14:paraId="1524A8D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29102.844 </w:t>
            </w:r>
          </w:p>
        </w:tc>
        <w:tc>
          <w:tcPr>
            <w:tcW w:w="2346" w:type="dxa"/>
            <w:vAlign w:val="bottom"/>
          </w:tcPr>
          <w:p w14:paraId="3E2EA7A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264.174</w:t>
            </w:r>
          </w:p>
        </w:tc>
        <w:tc>
          <w:tcPr>
            <w:tcW w:w="1614" w:type="dxa"/>
            <w:vAlign w:val="bottom"/>
          </w:tcPr>
          <w:p w14:paraId="1653607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0.91</w:t>
            </w:r>
          </w:p>
        </w:tc>
      </w:tr>
      <w:tr w14:paraId="55E2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restart"/>
            <w:vAlign w:val="center"/>
          </w:tcPr>
          <w:p w14:paraId="315A59E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1045" w:type="dxa"/>
            <w:vAlign w:val="center"/>
          </w:tcPr>
          <w:p w14:paraId="6F8716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867" w:type="dxa"/>
            <w:shd w:val="clear" w:color="auto" w:fill="auto"/>
            <w:vAlign w:val="bottom"/>
          </w:tcPr>
          <w:p w14:paraId="0A9428D4">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31286.807 </w:t>
            </w:r>
          </w:p>
        </w:tc>
        <w:tc>
          <w:tcPr>
            <w:tcW w:w="2346" w:type="dxa"/>
            <w:vAlign w:val="bottom"/>
          </w:tcPr>
          <w:p w14:paraId="3CA0E01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177.444</w:t>
            </w:r>
          </w:p>
        </w:tc>
        <w:tc>
          <w:tcPr>
            <w:tcW w:w="1614" w:type="dxa"/>
            <w:vAlign w:val="bottom"/>
          </w:tcPr>
          <w:p w14:paraId="6F0F29FB">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0.57</w:t>
            </w:r>
          </w:p>
        </w:tc>
      </w:tr>
      <w:tr w14:paraId="7537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0F889DFF">
            <w:pPr>
              <w:jc w:val="center"/>
              <w:rPr>
                <w:rFonts w:hint="default" w:ascii="Times New Roman" w:hAnsi="Times New Roman" w:eastAsia="宋体" w:cs="Times New Roman"/>
                <w:sz w:val="18"/>
                <w:szCs w:val="18"/>
              </w:rPr>
            </w:pPr>
          </w:p>
        </w:tc>
        <w:tc>
          <w:tcPr>
            <w:tcW w:w="1045" w:type="dxa"/>
            <w:vAlign w:val="center"/>
          </w:tcPr>
          <w:p w14:paraId="6B6C6D4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867" w:type="dxa"/>
            <w:shd w:val="clear" w:color="auto" w:fill="auto"/>
            <w:vAlign w:val="bottom"/>
          </w:tcPr>
          <w:p w14:paraId="21C6575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31222.748 </w:t>
            </w:r>
          </w:p>
        </w:tc>
        <w:tc>
          <w:tcPr>
            <w:tcW w:w="2346" w:type="dxa"/>
            <w:vAlign w:val="bottom"/>
          </w:tcPr>
          <w:p w14:paraId="39CBAE16">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166.906</w:t>
            </w:r>
          </w:p>
        </w:tc>
        <w:tc>
          <w:tcPr>
            <w:tcW w:w="1614" w:type="dxa"/>
            <w:vAlign w:val="bottom"/>
          </w:tcPr>
          <w:p w14:paraId="039CA728">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0.53</w:t>
            </w:r>
          </w:p>
        </w:tc>
      </w:tr>
      <w:tr w14:paraId="1887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24A4EA6E">
            <w:pPr>
              <w:jc w:val="center"/>
              <w:rPr>
                <w:rFonts w:hint="default" w:ascii="Times New Roman" w:hAnsi="Times New Roman" w:eastAsia="宋体" w:cs="Times New Roman"/>
                <w:sz w:val="18"/>
                <w:szCs w:val="18"/>
              </w:rPr>
            </w:pPr>
          </w:p>
        </w:tc>
        <w:tc>
          <w:tcPr>
            <w:tcW w:w="1045" w:type="dxa"/>
            <w:vAlign w:val="center"/>
          </w:tcPr>
          <w:p w14:paraId="33ED0A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867" w:type="dxa"/>
            <w:shd w:val="clear" w:color="auto" w:fill="auto"/>
            <w:vAlign w:val="bottom"/>
          </w:tcPr>
          <w:p w14:paraId="32F2A41F">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30285.328 </w:t>
            </w:r>
          </w:p>
        </w:tc>
        <w:tc>
          <w:tcPr>
            <w:tcW w:w="2346" w:type="dxa"/>
            <w:vAlign w:val="bottom"/>
          </w:tcPr>
          <w:p w14:paraId="2C0E194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168.202</w:t>
            </w:r>
          </w:p>
        </w:tc>
        <w:tc>
          <w:tcPr>
            <w:tcW w:w="1614" w:type="dxa"/>
            <w:vAlign w:val="bottom"/>
          </w:tcPr>
          <w:p w14:paraId="6C699E0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0.56</w:t>
            </w:r>
          </w:p>
        </w:tc>
      </w:tr>
      <w:tr w14:paraId="073E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restart"/>
            <w:vAlign w:val="center"/>
          </w:tcPr>
          <w:p w14:paraId="329606F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0.1%</w:t>
            </w:r>
          </w:p>
        </w:tc>
        <w:tc>
          <w:tcPr>
            <w:tcW w:w="1045" w:type="dxa"/>
            <w:vAlign w:val="center"/>
          </w:tcPr>
          <w:p w14:paraId="142E20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867" w:type="dxa"/>
            <w:vAlign w:val="bottom"/>
          </w:tcPr>
          <w:p w14:paraId="774906E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32423.131 </w:t>
            </w:r>
          </w:p>
        </w:tc>
        <w:tc>
          <w:tcPr>
            <w:tcW w:w="2346" w:type="dxa"/>
            <w:vAlign w:val="bottom"/>
          </w:tcPr>
          <w:p w14:paraId="39BDC7CD">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29.586</w:t>
            </w:r>
          </w:p>
        </w:tc>
        <w:tc>
          <w:tcPr>
            <w:tcW w:w="1614" w:type="dxa"/>
            <w:vAlign w:val="bottom"/>
          </w:tcPr>
          <w:p w14:paraId="667CCBD1">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0.09</w:t>
            </w:r>
          </w:p>
        </w:tc>
      </w:tr>
      <w:tr w14:paraId="1EDB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68039C55">
            <w:pPr>
              <w:jc w:val="center"/>
              <w:rPr>
                <w:rFonts w:hint="default" w:ascii="Times New Roman" w:hAnsi="Times New Roman" w:eastAsia="宋体" w:cs="Times New Roman"/>
                <w:sz w:val="18"/>
                <w:szCs w:val="18"/>
              </w:rPr>
            </w:pPr>
          </w:p>
        </w:tc>
        <w:tc>
          <w:tcPr>
            <w:tcW w:w="1045" w:type="dxa"/>
            <w:vAlign w:val="center"/>
          </w:tcPr>
          <w:p w14:paraId="0C8490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867" w:type="dxa"/>
            <w:vAlign w:val="bottom"/>
          </w:tcPr>
          <w:p w14:paraId="465E0F2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32397.357 </w:t>
            </w:r>
          </w:p>
        </w:tc>
        <w:tc>
          <w:tcPr>
            <w:tcW w:w="2346" w:type="dxa"/>
            <w:vAlign w:val="bottom"/>
          </w:tcPr>
          <w:p w14:paraId="4B86C117">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30.730</w:t>
            </w:r>
          </w:p>
        </w:tc>
        <w:tc>
          <w:tcPr>
            <w:tcW w:w="1614" w:type="dxa"/>
            <w:vAlign w:val="bottom"/>
          </w:tcPr>
          <w:p w14:paraId="201C1DC9">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0.09</w:t>
            </w:r>
          </w:p>
        </w:tc>
      </w:tr>
      <w:tr w14:paraId="6F11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dxa"/>
            <w:vMerge w:val="continue"/>
            <w:vAlign w:val="center"/>
          </w:tcPr>
          <w:p w14:paraId="6DDD522D">
            <w:pPr>
              <w:jc w:val="center"/>
              <w:rPr>
                <w:rFonts w:hint="default" w:ascii="Times New Roman" w:hAnsi="Times New Roman" w:eastAsia="宋体" w:cs="Times New Roman"/>
                <w:sz w:val="18"/>
                <w:szCs w:val="18"/>
              </w:rPr>
            </w:pPr>
          </w:p>
        </w:tc>
        <w:tc>
          <w:tcPr>
            <w:tcW w:w="1045" w:type="dxa"/>
            <w:vAlign w:val="center"/>
          </w:tcPr>
          <w:p w14:paraId="02A4552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867" w:type="dxa"/>
            <w:vAlign w:val="bottom"/>
          </w:tcPr>
          <w:p w14:paraId="61A808B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32676.643 </w:t>
            </w:r>
          </w:p>
        </w:tc>
        <w:tc>
          <w:tcPr>
            <w:tcW w:w="2346" w:type="dxa"/>
            <w:vAlign w:val="bottom"/>
          </w:tcPr>
          <w:p w14:paraId="492524F3">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36.792</w:t>
            </w:r>
          </w:p>
        </w:tc>
        <w:tc>
          <w:tcPr>
            <w:tcW w:w="1614" w:type="dxa"/>
            <w:vAlign w:val="bottom"/>
          </w:tcPr>
          <w:p w14:paraId="24FA0010">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0.11</w:t>
            </w:r>
          </w:p>
        </w:tc>
      </w:tr>
    </w:tbl>
    <w:p w14:paraId="79F2A732">
      <w:pPr>
        <w:rPr>
          <w:rFonts w:eastAsia="仿宋"/>
          <w:szCs w:val="21"/>
        </w:rPr>
      </w:pPr>
    </w:p>
    <w:p w14:paraId="73028110">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6.3 正确度和精密度分析</w:t>
      </w:r>
    </w:p>
    <w:p w14:paraId="5875466E">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6.3.1 正确度计算方法</w:t>
      </w:r>
    </w:p>
    <w:p w14:paraId="29BA651C">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计算各含量样品3个平行子样的转基因含量与标称值的相对偏倚</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74015" cy="295910"/>
            <wp:effectExtent l="0" t="0" r="6985" b="0"/>
            <wp:docPr id="11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9"/>
                    <pic:cNvPicPr>
                      <a:picLocks noChangeAspect="1"/>
                    </pic:cNvPicPr>
                  </pic:nvPicPr>
                  <pic:blipFill>
                    <a:blip r:embed="rId47">
                      <a:clrChange>
                        <a:clrFrom>
                          <a:srgbClr val="FFFFFF"/>
                        </a:clrFrom>
                        <a:clrTo>
                          <a:srgbClr val="FFFFFF">
                            <a:alpha val="0"/>
                          </a:srgbClr>
                        </a:clrTo>
                      </a:clrChange>
                      <a:lum/>
                    </a:blip>
                    <a:stretch>
                      <a:fillRect/>
                    </a:stretch>
                  </pic:blipFill>
                  <pic:spPr>
                    <a:xfrm>
                      <a:off x="0" y="0"/>
                      <a:ext cx="374015" cy="29591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，分析实时荧光PCR定量检测方法的正确度，即：</w:t>
      </w:r>
    </w:p>
    <w:p w14:paraId="00E4D4C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i/>
          <w:sz w:val="21"/>
          <w:szCs w:val="21"/>
        </w:rPr>
      </w:pPr>
    </w:p>
    <w:p w14:paraId="01A1A50D">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362075" cy="399415"/>
            <wp:effectExtent l="0" t="0" r="9525" b="635"/>
            <wp:docPr id="1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0"/>
                    <pic:cNvPicPr>
                      <a:picLocks noChangeAspect="1"/>
                    </pic:cNvPicPr>
                  </pic:nvPicPr>
                  <pic:blipFill>
                    <a:blip r:embed="rId48">
                      <a:clrChange>
                        <a:clrFrom>
                          <a:srgbClr val="FFFFFF"/>
                        </a:clrFrom>
                        <a:clrTo>
                          <a:srgbClr val="FFFFFF">
                            <a:alpha val="0"/>
                          </a:srgbClr>
                        </a:clrTo>
                      </a:clrChange>
                      <a:lum/>
                    </a:blip>
                    <a:stretch>
                      <a:fillRect/>
                    </a:stretch>
                  </pic:blipFill>
                  <pic:spPr>
                    <a:xfrm>
                      <a:off x="0" y="0"/>
                      <a:ext cx="1362075" cy="399415"/>
                    </a:xfrm>
                    <a:prstGeom prst="rect">
                      <a:avLst/>
                    </a:prstGeom>
                    <a:noFill/>
                    <a:ln>
                      <a:noFill/>
                    </a:ln>
                  </pic:spPr>
                </pic:pic>
              </a:graphicData>
            </a:graphic>
          </wp:inline>
        </w:drawing>
      </w:r>
      <w:r>
        <w:rPr>
          <w:rFonts w:hint="default" w:ascii="Times New Roman" w:hAnsi="Times New Roman" w:eastAsia="宋体" w:cs="Times New Roman"/>
          <w:sz w:val="21"/>
          <w:szCs w:val="21"/>
        </w:rPr>
        <w:t>……………………………（5）</w:t>
      </w:r>
    </w:p>
    <w:p w14:paraId="4A60434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w:t>
      </w:r>
    </w:p>
    <w:p w14:paraId="7F762BF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sz w:val="21"/>
          <w:szCs w:val="21"/>
          <w:lang w:eastAsia="zh-CN"/>
        </w:rPr>
      </w:pPr>
      <w:r>
        <w:rPr>
          <w:rFonts w:hint="eastAsia" w:cs="Times New Roman"/>
          <w:i/>
          <w:iCs/>
          <w:sz w:val="21"/>
          <w:szCs w:val="21"/>
          <w:lang w:eastAsia="zh-CN"/>
        </w:rPr>
        <w:t>bias</w:t>
      </w:r>
      <w:r>
        <w:rPr>
          <w:rFonts w:hint="default" w:ascii="Times New Roman" w:hAnsi="Times New Roman" w:eastAsia="宋体" w:cs="Times New Roman"/>
          <w:i/>
          <w:iCs/>
          <w:sz w:val="21"/>
          <w:szCs w:val="21"/>
        </w:rPr>
        <w:t>R</w:t>
      </w:r>
      <w:r>
        <w:rPr>
          <w:rFonts w:hint="eastAsia" w:ascii="Times New Roman" w:hAnsi="Times New Roman" w:cs="Times New Roman"/>
          <w:i/>
          <w:iCs/>
          <w:sz w:val="21"/>
          <w:szCs w:val="21"/>
          <w:lang w:val="en-US" w:eastAsia="zh-CN"/>
        </w:rPr>
        <w:t xml:space="preserve">  </w:t>
      </w:r>
      <w:r>
        <w:rPr>
          <w:rFonts w:hint="default" w:ascii="Times New Roman" w:hAnsi="Times New Roman" w:eastAsia="宋体" w:cs="Times New Roman"/>
          <w:bCs/>
          <w:color w:val="000000"/>
          <w:sz w:val="21"/>
          <w:szCs w:val="21"/>
        </w:rPr>
        <w:t>—试样检测数据平均值与其标称值的相对偏倚（相对偏差），单位为百分号（%）</w:t>
      </w:r>
      <w:r>
        <w:rPr>
          <w:rFonts w:hint="eastAsia" w:ascii="Times New Roman" w:hAnsi="Times New Roman" w:cs="Times New Roman"/>
          <w:bCs/>
          <w:color w:val="000000"/>
          <w:sz w:val="21"/>
          <w:szCs w:val="21"/>
          <w:lang w:eastAsia="zh-CN"/>
        </w:rPr>
        <w:t>；</w:t>
      </w:r>
    </w:p>
    <w:p w14:paraId="6B24FCAC">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eastAsia="宋体" w:cs="Times New Roman"/>
          <w:color w:val="000000"/>
          <w:sz w:val="21"/>
          <w:szCs w:val="21"/>
        </w:rPr>
        <w:fldChar w:fldCharType="begin"/>
      </w:r>
      <w:r>
        <w:rPr>
          <w:rFonts w:hint="default" w:ascii="Times New Roman" w:hAnsi="Times New Roman" w:eastAsia="宋体" w:cs="Times New Roman"/>
          <w:color w:val="000000"/>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67310" cy="295910"/>
            <wp:effectExtent l="0" t="0" r="8890" b="0"/>
            <wp:docPr id="1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1"/>
                    <pic:cNvPicPr>
                      <a:picLocks noChangeAspect="1"/>
                    </pic:cNvPicPr>
                  </pic:nvPicPr>
                  <pic:blipFill>
                    <a:blip r:embed="rId49">
                      <a:clrChange>
                        <a:clrFrom>
                          <a:srgbClr val="FFFFFF"/>
                        </a:clrFrom>
                        <a:clrTo>
                          <a:srgbClr val="FFFFFF">
                            <a:alpha val="0"/>
                          </a:srgbClr>
                        </a:clrTo>
                      </a:clrChange>
                      <a:lum/>
                    </a:blip>
                    <a:stretch>
                      <a:fillRect/>
                    </a:stretch>
                  </pic:blipFill>
                  <pic:spPr>
                    <a:xfrm>
                      <a:off x="0" y="0"/>
                      <a:ext cx="67310" cy="295910"/>
                    </a:xfrm>
                    <a:prstGeom prst="rect">
                      <a:avLst/>
                    </a:prstGeom>
                    <a:noFill/>
                    <a:ln>
                      <a:noFill/>
                    </a:ln>
                  </pic:spPr>
                </pic:pic>
              </a:graphicData>
            </a:graphic>
          </wp:inline>
        </w:drawing>
      </w:r>
      <w:r>
        <w:rPr>
          <w:rFonts w:hint="default" w:ascii="Times New Roman" w:hAnsi="Times New Roman" w:eastAsia="宋体" w:cs="Times New Roman"/>
          <w:color w:val="000000"/>
          <w:sz w:val="21"/>
          <w:szCs w:val="21"/>
        </w:rPr>
        <w:fldChar w:fldCharType="end"/>
      </w:r>
      <w:r>
        <w:rPr>
          <w:rFonts w:hint="default" w:ascii="Times New Roman" w:hAnsi="Times New Roman" w:eastAsia="宋体" w:cs="Times New Roman"/>
          <w:bCs/>
          <w:color w:val="000000"/>
          <w:position w:val="-6"/>
          <w:sz w:val="21"/>
          <w:szCs w:val="21"/>
        </w:rPr>
        <w:object>
          <v:shape id="_x0000_i1037" o:spt="75" type="#_x0000_t75" style="height:18.9pt;width:8.9pt;" o:ole="t" filled="f" o:preferrelative="t" stroked="f" coordsize="21600,21600">
            <v:path/>
            <v:fill on="f" focussize="0,0"/>
            <v:stroke on="f" joinstyle="miter"/>
            <v:imagedata r:id="rId51" o:title=""/>
            <o:lock v:ext="edit" aspectratio="t"/>
            <w10:wrap type="none"/>
            <w10:anchorlock/>
          </v:shape>
          <o:OLEObject Type="Embed" ProgID="Equation.KSEE3" ShapeID="_x0000_i1037" DrawAspect="Content" ObjectID="_1468075737" r:id="rId50">
            <o:LockedField>false</o:LockedField>
          </o:OLEObject>
        </w:object>
      </w:r>
      <w:r>
        <w:rPr>
          <w:rFonts w:hint="default" w:ascii="Times New Roman" w:hAnsi="Times New Roman" w:eastAsia="宋体" w:cs="Times New Roman"/>
          <w:bCs/>
          <w:color w:val="000000"/>
          <w:sz w:val="21"/>
          <w:szCs w:val="21"/>
        </w:rPr>
        <w:t xml:space="preserve"> </w:t>
      </w:r>
      <w:r>
        <w:rPr>
          <w:rFonts w:hint="eastAsia" w:ascii="Times New Roman" w:hAnsi="Times New Roman" w:cs="Times New Roman"/>
          <w:bCs/>
          <w:color w:val="000000"/>
          <w:sz w:val="21"/>
          <w:szCs w:val="21"/>
          <w:lang w:val="en-US" w:eastAsia="zh-CN"/>
        </w:rPr>
        <w:t xml:space="preserve"> </w:t>
      </w:r>
      <w:r>
        <w:rPr>
          <w:rFonts w:hint="default" w:ascii="Times New Roman" w:hAnsi="Times New Roman" w:eastAsia="宋体" w:cs="Times New Roman"/>
          <w:bCs/>
          <w:color w:val="000000"/>
          <w:sz w:val="21"/>
          <w:szCs w:val="21"/>
        </w:rPr>
        <w:t>—试样3个平行子样3次重复检测数据平均值</w:t>
      </w:r>
      <w:r>
        <w:rPr>
          <w:rFonts w:hint="default" w:ascii="Times New Roman" w:hAnsi="Times New Roman" w:eastAsia="宋体" w:cs="Times New Roman"/>
          <w:sz w:val="21"/>
          <w:szCs w:val="21"/>
        </w:rPr>
        <w:t>（3个平行子样转基因含量的平均值）</w:t>
      </w:r>
      <w:r>
        <w:rPr>
          <w:rFonts w:hint="eastAsia" w:ascii="Times New Roman" w:hAnsi="Times New Roman" w:cs="Times New Roman"/>
          <w:bCs/>
          <w:color w:val="000000"/>
          <w:sz w:val="21"/>
          <w:szCs w:val="21"/>
          <w:lang w:eastAsia="zh-CN"/>
        </w:rPr>
        <w:t>；</w:t>
      </w:r>
    </w:p>
    <w:p w14:paraId="7DB8D12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c</w:t>
      </w:r>
      <w:r>
        <w:rPr>
          <w:rFonts w:hint="default" w:ascii="Times New Roman" w:hAnsi="Times New Roman" w:eastAsia="宋体" w:cs="Times New Roman"/>
          <w:bCs/>
          <w:color w:val="000000"/>
          <w:sz w:val="21"/>
          <w:szCs w:val="21"/>
          <w:vertAlign w:val="subscript"/>
        </w:rPr>
        <w:t>E</w:t>
      </w:r>
      <w:r>
        <w:rPr>
          <w:rFonts w:hint="default" w:ascii="Times New Roman" w:hAnsi="Times New Roman" w:eastAsia="宋体" w:cs="Times New Roman"/>
          <w:bCs/>
          <w:color w:val="000000"/>
          <w:sz w:val="21"/>
          <w:szCs w:val="21"/>
        </w:rPr>
        <w:t xml:space="preserve"> </w:t>
      </w:r>
      <w:r>
        <w:rPr>
          <w:rFonts w:hint="eastAsia" w:ascii="Times New Roman" w:hAnsi="Times New Roman" w:cs="Times New Roman"/>
          <w:bCs/>
          <w:color w:val="000000"/>
          <w:sz w:val="21"/>
          <w:szCs w:val="21"/>
          <w:lang w:val="en-US" w:eastAsia="zh-CN"/>
        </w:rPr>
        <w:t xml:space="preserve"> </w:t>
      </w:r>
      <w:r>
        <w:rPr>
          <w:rFonts w:hint="default" w:ascii="Times New Roman" w:hAnsi="Times New Roman" w:eastAsia="宋体" w:cs="Times New Roman"/>
          <w:bCs/>
          <w:color w:val="000000"/>
          <w:sz w:val="21"/>
          <w:szCs w:val="21"/>
        </w:rPr>
        <w:t>—试样预期值。</w:t>
      </w:r>
    </w:p>
    <w:p w14:paraId="22AB31C8">
      <w:pPr>
        <w:tabs>
          <w:tab w:val="left" w:pos="3315"/>
        </w:tabs>
        <w:spacing w:line="36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6.3.2 精密度计算方法</w:t>
      </w:r>
    </w:p>
    <w:p w14:paraId="4040CFD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计算每个试样3个平行子样的转基因含量值，采用极差法计算3个平行子样检测数据的标准差（SD），然后计算3个平行子样检测数据的相对标准差（RSD），分析实时荧光PCR定量检测方法的精密度，即：</w:t>
      </w:r>
    </w:p>
    <w:p w14:paraId="2651833E">
      <w:pPr>
        <w:keepNext w:val="0"/>
        <w:keepLines w:val="0"/>
        <w:pageBreakBefore w:val="0"/>
        <w:widowControl w:val="0"/>
        <w:kinsoku/>
        <w:wordWrap/>
        <w:overflowPunct/>
        <w:topLinePunct w:val="0"/>
        <w:autoSpaceDE/>
        <w:autoSpaceDN/>
        <w:bidi w:val="0"/>
        <w:adjustRightInd/>
        <w:snapToGrid/>
        <w:spacing w:line="312" w:lineRule="auto"/>
        <w:ind w:firstLine="42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119505" cy="426720"/>
            <wp:effectExtent l="0" t="0" r="4445" b="0"/>
            <wp:docPr id="1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
                    <pic:cNvPicPr>
                      <a:picLocks noChangeAspect="1"/>
                    </pic:cNvPicPr>
                  </pic:nvPicPr>
                  <pic:blipFill>
                    <a:blip r:embed="rId52">
                      <a:clrChange>
                        <a:clrFrom>
                          <a:srgbClr val="FFFFFF"/>
                        </a:clrFrom>
                        <a:clrTo>
                          <a:srgbClr val="FFFFFF">
                            <a:alpha val="0"/>
                          </a:srgbClr>
                        </a:clrTo>
                      </a:clrChange>
                      <a:lum/>
                    </a:blip>
                    <a:stretch>
                      <a:fillRect/>
                    </a:stretch>
                  </pic:blipFill>
                  <pic:spPr>
                    <a:xfrm>
                      <a:off x="0" y="0"/>
                      <a:ext cx="1119505" cy="426720"/>
                    </a:xfrm>
                    <a:prstGeom prst="rect">
                      <a:avLst/>
                    </a:prstGeom>
                    <a:noFill/>
                    <a:ln>
                      <a:noFill/>
                    </a:ln>
                  </pic:spPr>
                </pic:pic>
              </a:graphicData>
            </a:graphic>
          </wp:inline>
        </w:drawing>
      </w:r>
      <w:r>
        <w:rPr>
          <w:rFonts w:hint="default" w:ascii="Times New Roman" w:hAnsi="Times New Roman" w:eastAsia="宋体" w:cs="Times New Roman"/>
          <w:sz w:val="21"/>
          <w:szCs w:val="21"/>
        </w:rPr>
        <w:t xml:space="preserve"> ……………………………（6）</w:t>
      </w:r>
    </w:p>
    <w:p w14:paraId="0D83DBEE">
      <w:pPr>
        <w:keepNext w:val="0"/>
        <w:keepLines w:val="0"/>
        <w:pageBreakBefore w:val="0"/>
        <w:widowControl w:val="0"/>
        <w:kinsoku/>
        <w:wordWrap/>
        <w:overflowPunct/>
        <w:topLinePunct w:val="0"/>
        <w:autoSpaceDE/>
        <w:autoSpaceDN/>
        <w:bidi w:val="0"/>
        <w:adjustRightInd/>
        <w:snapToGrid/>
        <w:spacing w:line="312" w:lineRule="auto"/>
        <w:ind w:firstLine="42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drawing>
          <wp:inline distT="0" distB="0" distL="114300" distR="114300">
            <wp:extent cx="1143635" cy="428625"/>
            <wp:effectExtent l="0" t="0" r="18415" b="0"/>
            <wp:docPr id="1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4"/>
                    <pic:cNvPicPr>
                      <a:picLocks noChangeAspect="1"/>
                    </pic:cNvPicPr>
                  </pic:nvPicPr>
                  <pic:blipFill>
                    <a:blip r:embed="rId53">
                      <a:clrChange>
                        <a:clrFrom>
                          <a:srgbClr val="FFFFFF"/>
                        </a:clrFrom>
                        <a:clrTo>
                          <a:srgbClr val="FFFFFF">
                            <a:alpha val="0"/>
                          </a:srgbClr>
                        </a:clrTo>
                      </a:clrChange>
                      <a:lum/>
                    </a:blip>
                    <a:stretch>
                      <a:fillRect/>
                    </a:stretch>
                  </pic:blipFill>
                  <pic:spPr>
                    <a:xfrm>
                      <a:off x="0" y="0"/>
                      <a:ext cx="1143635" cy="428625"/>
                    </a:xfrm>
                    <a:prstGeom prst="rect">
                      <a:avLst/>
                    </a:prstGeom>
                    <a:noFill/>
                    <a:ln>
                      <a:noFill/>
                    </a:ln>
                  </pic:spPr>
                </pic:pic>
              </a:graphicData>
            </a:graphic>
          </wp:inline>
        </w:drawing>
      </w:r>
      <w:r>
        <w:rPr>
          <w:rFonts w:hint="default" w:ascii="Times New Roman" w:hAnsi="Times New Roman" w:eastAsia="宋体" w:cs="Times New Roman"/>
          <w:sz w:val="21"/>
          <w:szCs w:val="21"/>
        </w:rPr>
        <w:t xml:space="preserve"> ……………………………………（7）</w:t>
      </w:r>
    </w:p>
    <w:p w14:paraId="110540B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式中：</w:t>
      </w:r>
    </w:p>
    <w:p w14:paraId="488C48C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eastAsia="宋体" w:cs="Times New Roman"/>
          <w:bCs/>
          <w:i/>
          <w:iCs/>
          <w:color w:val="000000"/>
          <w:sz w:val="21"/>
          <w:szCs w:val="21"/>
        </w:rPr>
        <w:t xml:space="preserve">SD </w:t>
      </w:r>
      <w:r>
        <w:rPr>
          <w:rFonts w:hint="eastAsia" w:ascii="Times New Roman" w:hAnsi="Times New Roman" w:cs="Times New Roman"/>
          <w:bCs/>
          <w:i/>
          <w:iCs/>
          <w:color w:val="000000"/>
          <w:sz w:val="21"/>
          <w:szCs w:val="21"/>
          <w:lang w:val="en-US" w:eastAsia="zh-CN"/>
        </w:rPr>
        <w:t xml:space="preserve"> </w:t>
      </w:r>
      <w:r>
        <w:rPr>
          <w:rFonts w:hint="default" w:ascii="Times New Roman" w:hAnsi="Times New Roman" w:eastAsia="宋体" w:cs="Times New Roman"/>
          <w:bCs/>
          <w:color w:val="000000"/>
          <w:sz w:val="21"/>
          <w:szCs w:val="21"/>
        </w:rPr>
        <w:t>—试样设置3个平行子样，每个子样重复3次</w:t>
      </w:r>
      <w:r>
        <w:rPr>
          <w:rFonts w:hint="default" w:ascii="Times New Roman" w:hAnsi="Times New Roman" w:eastAsia="宋体" w:cs="Times New Roman"/>
          <w:sz w:val="21"/>
          <w:szCs w:val="21"/>
        </w:rPr>
        <w:t>PCR</w:t>
      </w:r>
      <w:r>
        <w:rPr>
          <w:rFonts w:hint="default" w:ascii="Times New Roman" w:hAnsi="Times New Roman" w:eastAsia="宋体" w:cs="Times New Roman"/>
          <w:bCs/>
          <w:color w:val="000000"/>
          <w:sz w:val="21"/>
          <w:szCs w:val="21"/>
        </w:rPr>
        <w:t>，3个子样检测数据的标准差</w:t>
      </w:r>
      <w:r>
        <w:rPr>
          <w:rFonts w:hint="eastAsia" w:ascii="Times New Roman" w:hAnsi="Times New Roman" w:cs="Times New Roman"/>
          <w:bCs/>
          <w:color w:val="000000"/>
          <w:sz w:val="21"/>
          <w:szCs w:val="21"/>
          <w:lang w:eastAsia="zh-CN"/>
        </w:rPr>
        <w:t>；</w:t>
      </w:r>
    </w:p>
    <w:p w14:paraId="5388BA7B">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kern w:val="0"/>
          <w:position w:val="-6"/>
          <w:sz w:val="21"/>
          <w:szCs w:val="21"/>
        </w:rPr>
        <w:object>
          <v:shape id="_x0000_i1038" o:spt="75" type="#_x0000_t75" style="height:17.1pt;width:22.1pt;" o:ole="t" filled="f" o:preferrelative="t" stroked="f" coordsize="21600,21600">
            <v:path/>
            <v:fill on="f" focussize="0,0"/>
            <v:stroke on="f" joinstyle="miter"/>
            <v:imagedata r:id="rId55" o:title=""/>
            <o:lock v:ext="edit" aspectratio="t"/>
            <w10:wrap type="none"/>
            <w10:anchorlock/>
          </v:shape>
          <o:OLEObject Type="Embed" ProgID="Equation.KSEE3" ShapeID="_x0000_i1038" DrawAspect="Content" ObjectID="_1468075738" r:id="rId54">
            <o:LockedField>false</o:LockedField>
          </o:OLEObject>
        </w:object>
      </w:r>
      <w:r>
        <w:rPr>
          <w:rFonts w:hint="eastAsia" w:ascii="Times New Roman" w:hAnsi="Times New Roman" w:cs="Times New Roman"/>
          <w:bCs/>
          <w:color w:val="000000"/>
          <w:kern w:val="0"/>
          <w:position w:val="-6"/>
          <w:sz w:val="21"/>
          <w:szCs w:val="21"/>
          <w:lang w:val="en-US" w:eastAsia="zh-CN"/>
        </w:rPr>
        <w:t xml:space="preserve">  </w:t>
      </w:r>
      <w:r>
        <w:rPr>
          <w:rFonts w:hint="default" w:ascii="Times New Roman" w:hAnsi="Times New Roman" w:eastAsia="宋体" w:cs="Times New Roman"/>
          <w:bCs/>
          <w:color w:val="000000"/>
          <w:kern w:val="0"/>
          <w:sz w:val="21"/>
          <w:szCs w:val="21"/>
        </w:rPr>
        <w:t>—3个子样各自转化体拷贝数浓度平均值与内标准基因拷贝数浓度平均值的比值的最大值；</w:t>
      </w:r>
    </w:p>
    <w:p w14:paraId="14ED79B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position w:val="-6"/>
          <w:sz w:val="21"/>
          <w:szCs w:val="21"/>
        </w:rPr>
        <w:object>
          <v:shape id="_x0000_i1039" o:spt="75" type="#_x0000_t75" style="height:17.1pt;width:21.05pt;" o:ole="t" filled="f" o:preferrelative="t" stroked="f" coordsize="21600,21600">
            <v:path/>
            <v:fill on="f" focussize="0,0"/>
            <v:stroke on="f" joinstyle="miter"/>
            <v:imagedata r:id="rId57" o:title=""/>
            <o:lock v:ext="edit" aspectratio="t"/>
            <w10:wrap type="none"/>
            <w10:anchorlock/>
          </v:shape>
          <o:OLEObject Type="Embed" ProgID="Equation.KSEE3" ShapeID="_x0000_i1039" DrawAspect="Content" ObjectID="_1468075739" r:id="rId56">
            <o:LockedField>false</o:LockedField>
          </o:OLEObject>
        </w:object>
      </w:r>
      <w:r>
        <w:rPr>
          <w:rFonts w:hint="eastAsia" w:ascii="Times New Roman" w:hAnsi="Times New Roman" w:cs="Times New Roman"/>
          <w:bCs/>
          <w:color w:val="000000"/>
          <w:kern w:val="0"/>
          <w:position w:val="-6"/>
          <w:sz w:val="21"/>
          <w:szCs w:val="21"/>
          <w:lang w:val="en-US" w:eastAsia="zh-CN"/>
        </w:rPr>
        <w:t xml:space="preserve">  </w:t>
      </w:r>
      <w:r>
        <w:rPr>
          <w:rFonts w:hint="default" w:ascii="Times New Roman" w:hAnsi="Times New Roman" w:eastAsia="宋体" w:cs="Times New Roman"/>
          <w:bCs/>
          <w:color w:val="000000"/>
          <w:kern w:val="0"/>
          <w:sz w:val="21"/>
          <w:szCs w:val="21"/>
        </w:rPr>
        <w:t>—3个子样各自转化体拷贝数浓度平均值与内标准基因拷贝数浓度平均值的比值的的最小值；</w:t>
      </w:r>
    </w:p>
    <w:p w14:paraId="1F53A2B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bCs/>
          <w:color w:val="000000"/>
          <w:kern w:val="0"/>
          <w:sz w:val="21"/>
          <w:szCs w:val="21"/>
          <w:lang w:eastAsia="zh-CN"/>
        </w:rPr>
      </w:pPr>
      <w:r>
        <w:rPr>
          <w:rFonts w:hint="default" w:ascii="Times New Roman" w:hAnsi="Times New Roman" w:eastAsia="宋体" w:cs="Times New Roman"/>
          <w:bCs/>
          <w:color w:val="000000"/>
          <w:kern w:val="0"/>
          <w:sz w:val="21"/>
          <w:szCs w:val="21"/>
        </w:rPr>
        <w:t xml:space="preserve">C </w:t>
      </w:r>
      <w:r>
        <w:rPr>
          <w:rFonts w:hint="eastAsia" w:ascii="Times New Roman" w:hAnsi="Times New Roman" w:cs="Times New Roman"/>
          <w:bCs/>
          <w:color w:val="000000"/>
          <w:kern w:val="0"/>
          <w:sz w:val="21"/>
          <w:szCs w:val="21"/>
          <w:lang w:val="en-US" w:eastAsia="zh-CN"/>
        </w:rPr>
        <w:t xml:space="preserve"> </w:t>
      </w:r>
      <w:r>
        <w:rPr>
          <w:rFonts w:hint="default" w:ascii="Times New Roman" w:hAnsi="Times New Roman" w:eastAsia="宋体" w:cs="Times New Roman"/>
          <w:bCs/>
          <w:color w:val="000000"/>
          <w:kern w:val="0"/>
          <w:sz w:val="21"/>
          <w:szCs w:val="21"/>
        </w:rPr>
        <w:t>—极差系数（C因子），当平行m=3时，C=1.693</w:t>
      </w:r>
      <w:r>
        <w:rPr>
          <w:rFonts w:hint="eastAsia" w:ascii="Times New Roman" w:hAnsi="Times New Roman" w:cs="Times New Roman"/>
          <w:bCs/>
          <w:color w:val="000000"/>
          <w:kern w:val="0"/>
          <w:sz w:val="21"/>
          <w:szCs w:val="21"/>
          <w:lang w:eastAsia="zh-CN"/>
        </w:rPr>
        <w:t>；</w:t>
      </w:r>
    </w:p>
    <w:p w14:paraId="35A1901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eastAsia="宋体" w:cs="Times New Roman"/>
          <w:bCs/>
          <w:i/>
          <w:iCs/>
          <w:color w:val="000000"/>
          <w:sz w:val="21"/>
          <w:szCs w:val="21"/>
        </w:rPr>
        <w:t>RSD</w:t>
      </w:r>
      <w:r>
        <w:rPr>
          <w:rFonts w:hint="eastAsia" w:ascii="Times New Roman" w:hAnsi="Times New Roman" w:cs="Times New Roman"/>
          <w:bCs/>
          <w:i/>
          <w:iCs/>
          <w:color w:val="000000"/>
          <w:sz w:val="21"/>
          <w:szCs w:val="21"/>
          <w:lang w:val="en-US" w:eastAsia="zh-CN"/>
        </w:rPr>
        <w:t xml:space="preserve">  </w:t>
      </w:r>
      <w:r>
        <w:rPr>
          <w:rFonts w:hint="default" w:ascii="Times New Roman" w:hAnsi="Times New Roman" w:eastAsia="宋体" w:cs="Times New Roman"/>
          <w:bCs/>
          <w:i/>
          <w:iCs/>
          <w:color w:val="000000"/>
          <w:sz w:val="21"/>
          <w:szCs w:val="21"/>
        </w:rPr>
        <w:t>—</w:t>
      </w:r>
      <w:r>
        <w:rPr>
          <w:rFonts w:hint="default" w:ascii="Times New Roman" w:hAnsi="Times New Roman" w:eastAsia="宋体" w:cs="Times New Roman"/>
          <w:bCs/>
          <w:color w:val="000000"/>
          <w:sz w:val="21"/>
          <w:szCs w:val="21"/>
        </w:rPr>
        <w:t>试样设置3个平行子样，每个子样重复3次，3个子样检测数据的相对标准差</w:t>
      </w:r>
      <w:r>
        <w:rPr>
          <w:rFonts w:hint="eastAsia" w:ascii="Times New Roman" w:hAnsi="Times New Roman" w:cs="Times New Roman"/>
          <w:bCs/>
          <w:color w:val="000000"/>
          <w:sz w:val="21"/>
          <w:szCs w:val="21"/>
          <w:lang w:eastAsia="zh-CN"/>
        </w:rPr>
        <w:t>；</w:t>
      </w:r>
    </w:p>
    <w:p w14:paraId="4D8F5F2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color w:val="000000"/>
          <w:sz w:val="21"/>
          <w:szCs w:val="21"/>
        </w:rPr>
        <w:fldChar w:fldCharType="begin"/>
      </w:r>
      <w:r>
        <w:rPr>
          <w:rFonts w:hint="default" w:ascii="Times New Roman" w:hAnsi="Times New Roman" w:eastAsia="宋体" w:cs="Times New Roman"/>
          <w:bCs/>
          <w:color w:val="000000"/>
          <w:sz w:val="21"/>
          <w:szCs w:val="21"/>
        </w:rPr>
        <w:instrText xml:space="preserve"> QUOTE </w:instrText>
      </w:r>
      <w:r>
        <w:rPr>
          <w:rFonts w:hint="default" w:ascii="Times New Roman" w:hAnsi="Times New Roman" w:eastAsia="宋体" w:cs="Times New Roman"/>
          <w:position w:val="-16"/>
          <w:sz w:val="21"/>
          <w:szCs w:val="21"/>
        </w:rPr>
        <w:drawing>
          <wp:inline distT="0" distB="0" distL="114300" distR="114300">
            <wp:extent cx="67310" cy="295910"/>
            <wp:effectExtent l="0" t="0" r="8890" b="0"/>
            <wp:docPr id="1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7"/>
                    <pic:cNvPicPr>
                      <a:picLocks noChangeAspect="1"/>
                    </pic:cNvPicPr>
                  </pic:nvPicPr>
                  <pic:blipFill>
                    <a:blip r:embed="rId58">
                      <a:clrChange>
                        <a:clrFrom>
                          <a:srgbClr val="FFFFFF"/>
                        </a:clrFrom>
                        <a:clrTo>
                          <a:srgbClr val="FFFFFF">
                            <a:alpha val="0"/>
                          </a:srgbClr>
                        </a:clrTo>
                      </a:clrChange>
                      <a:lum/>
                    </a:blip>
                    <a:stretch>
                      <a:fillRect/>
                    </a:stretch>
                  </pic:blipFill>
                  <pic:spPr>
                    <a:xfrm>
                      <a:off x="0" y="0"/>
                      <a:ext cx="67310" cy="295910"/>
                    </a:xfrm>
                    <a:prstGeom prst="rect">
                      <a:avLst/>
                    </a:prstGeom>
                    <a:noFill/>
                    <a:ln>
                      <a:noFill/>
                    </a:ln>
                  </pic:spPr>
                </pic:pic>
              </a:graphicData>
            </a:graphic>
          </wp:inline>
        </w:drawing>
      </w:r>
      <w:r>
        <w:rPr>
          <w:rFonts w:hint="default" w:ascii="Times New Roman" w:hAnsi="Times New Roman" w:eastAsia="宋体" w:cs="Times New Roman"/>
          <w:bCs/>
          <w:color w:val="000000"/>
          <w:sz w:val="21"/>
          <w:szCs w:val="21"/>
        </w:rPr>
        <w:fldChar w:fldCharType="end"/>
      </w:r>
      <w:r>
        <w:rPr>
          <w:rFonts w:hint="default" w:ascii="Times New Roman" w:hAnsi="Times New Roman" w:eastAsia="宋体" w:cs="Times New Roman"/>
          <w:bCs/>
          <w:color w:val="000000"/>
          <w:position w:val="-6"/>
          <w:sz w:val="21"/>
          <w:szCs w:val="21"/>
        </w:rPr>
        <w:object>
          <v:shape id="_x0000_i1040" o:spt="75" type="#_x0000_t75" style="height:18.9pt;width:8.9pt;" o:ole="t" filled="f" o:preferrelative="t" stroked="f" coordsize="21600,21600">
            <v:path/>
            <v:fill on="f" focussize="0,0"/>
            <v:stroke on="f" joinstyle="miter"/>
            <v:imagedata r:id="rId60" o:title=""/>
            <o:lock v:ext="edit" aspectratio="t"/>
            <w10:wrap type="none"/>
            <w10:anchorlock/>
          </v:shape>
          <o:OLEObject Type="Embed" ProgID="Equation.KSEE3" ShapeID="_x0000_i1040" DrawAspect="Content" ObjectID="_1468075740" r:id="rId59">
            <o:LockedField>false</o:LockedField>
          </o:OLEObject>
        </w:object>
      </w:r>
      <w:r>
        <w:rPr>
          <w:rFonts w:hint="eastAsia" w:ascii="Times New Roman" w:hAnsi="Times New Roman" w:cs="Times New Roman"/>
          <w:bCs/>
          <w:color w:val="000000"/>
          <w:position w:val="-6"/>
          <w:sz w:val="21"/>
          <w:szCs w:val="21"/>
          <w:lang w:val="en-US" w:eastAsia="zh-CN"/>
        </w:rPr>
        <w:t xml:space="preserve">  </w:t>
      </w:r>
      <w:r>
        <w:rPr>
          <w:rFonts w:hint="default" w:ascii="Times New Roman" w:hAnsi="Times New Roman" w:eastAsia="宋体" w:cs="Times New Roman"/>
          <w:bCs/>
          <w:color w:val="000000"/>
          <w:sz w:val="21"/>
          <w:szCs w:val="21"/>
        </w:rPr>
        <w:t>—试样设置3个平行子样，每个子样3次重复，所有子样检测数据平均值（每个子样的转基因含量为</w:t>
      </w:r>
      <w:r>
        <w:rPr>
          <w:rFonts w:hint="default" w:ascii="Times New Roman" w:hAnsi="Times New Roman" w:eastAsia="宋体" w:cs="Times New Roman"/>
          <w:bCs/>
          <w:color w:val="000000"/>
          <w:kern w:val="0"/>
          <w:sz w:val="21"/>
          <w:szCs w:val="21"/>
        </w:rPr>
        <w:t>各自转化体拷贝数浓度平均值与内标准基因拷贝数浓度平均值的比值，3个子样比值的平均即为</w:t>
      </w:r>
      <m:oMath>
        <m:acc>
          <m:accPr>
            <m:chr m:val="̿"/>
            <m:ctrlPr>
              <w:rPr>
                <w:rFonts w:ascii="Cambria Math" w:hAnsi="Cambria Math" w:cs="Times New Roman"/>
                <w:bCs/>
                <w:i/>
                <w:color w:val="000000"/>
                <w:sz w:val="21"/>
                <w:szCs w:val="21"/>
                <w:highlight w:val="none"/>
              </w:rPr>
            </m:ctrlPr>
          </m:accPr>
          <m:e>
            <m:r>
              <m:rPr/>
              <w:rPr>
                <w:rFonts w:hint="default" w:ascii="Cambria Math" w:hAnsi="Cambria Math" w:cs="Times New Roman"/>
                <w:color w:val="000000"/>
                <w:sz w:val="21"/>
                <w:szCs w:val="21"/>
                <w:highlight w:val="none"/>
                <w:lang w:val="en-US" w:eastAsia="zh-CN"/>
              </w:rPr>
              <m:t>c</m:t>
            </m:r>
            <m:ctrlPr>
              <w:rPr>
                <w:rFonts w:ascii="Cambria Math" w:hAnsi="Cambria Math" w:cs="Times New Roman"/>
                <w:bCs/>
                <w:i/>
                <w:color w:val="000000"/>
                <w:sz w:val="21"/>
                <w:szCs w:val="21"/>
                <w:highlight w:val="none"/>
              </w:rPr>
            </m:ctrlPr>
          </m:e>
        </m:acc>
      </m:oMath>
      <w:r>
        <w:rPr>
          <w:rFonts w:hint="default" w:ascii="Times New Roman" w:hAnsi="Times New Roman" w:eastAsia="宋体" w:cs="Times New Roman"/>
          <w:bCs/>
          <w:color w:val="000000"/>
          <w:sz w:val="21"/>
          <w:szCs w:val="21"/>
        </w:rPr>
        <w:t>）。</w:t>
      </w:r>
    </w:p>
    <w:p w14:paraId="60919A3F">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6.3.3 正确度和精密度计算结果</w:t>
      </w:r>
    </w:p>
    <w:p w14:paraId="308D2F1B">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Cs/>
          <w:sz w:val="21"/>
          <w:szCs w:val="21"/>
        </w:rPr>
        <w:t>将表</w:t>
      </w:r>
      <w:r>
        <w:rPr>
          <w:rFonts w:hint="eastAsia" w:cs="Times New Roman"/>
          <w:bCs/>
          <w:sz w:val="21"/>
          <w:szCs w:val="21"/>
          <w:lang w:val="en-US" w:eastAsia="zh-CN"/>
        </w:rPr>
        <w:t>2-15</w:t>
      </w:r>
      <w:r>
        <w:rPr>
          <w:rFonts w:hint="default" w:ascii="Times New Roman" w:hAnsi="Times New Roman" w:eastAsia="宋体" w:cs="Times New Roman"/>
          <w:bCs/>
          <w:sz w:val="21"/>
          <w:szCs w:val="21"/>
        </w:rPr>
        <w:t>的计算结果汇总成表</w:t>
      </w:r>
      <w:r>
        <w:rPr>
          <w:rFonts w:hint="eastAsia" w:cs="Times New Roman"/>
          <w:bCs/>
          <w:sz w:val="21"/>
          <w:szCs w:val="21"/>
          <w:lang w:val="en-US" w:eastAsia="zh-CN"/>
        </w:rPr>
        <w:t>2-16</w:t>
      </w:r>
      <w:r>
        <w:rPr>
          <w:rFonts w:hint="default" w:ascii="Times New Roman" w:hAnsi="Times New Roman" w:eastAsia="宋体" w:cs="Times New Roman"/>
          <w:bCs/>
          <w:sz w:val="21"/>
          <w:szCs w:val="21"/>
        </w:rPr>
        <w:t>如下：</w:t>
      </w:r>
    </w:p>
    <w:p w14:paraId="31A985EB">
      <w:pPr>
        <w:jc w:val="center"/>
        <w:rPr>
          <w:rFonts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 xml:space="preserve">2-16 </w:t>
      </w:r>
      <w:r>
        <w:rPr>
          <w:rFonts w:ascii="Times New Roman" w:hAnsi="Times New Roman" w:eastAsia="黑体" w:cs="Calibri"/>
          <w:kern w:val="2"/>
          <w:sz w:val="18"/>
          <w:szCs w:val="22"/>
          <w:lang w:val="en-US" w:eastAsia="zh-CN" w:bidi="ar-SA"/>
        </w:rPr>
        <w:t>正确度和精密度测试结果</w:t>
      </w:r>
    </w:p>
    <w:tbl>
      <w:tblPr>
        <w:tblStyle w:val="16"/>
        <w:tblW w:w="9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92"/>
        <w:gridCol w:w="1134"/>
        <w:gridCol w:w="851"/>
        <w:gridCol w:w="1276"/>
        <w:gridCol w:w="1417"/>
        <w:gridCol w:w="1276"/>
        <w:gridCol w:w="1324"/>
      </w:tblGrid>
      <w:tr w14:paraId="6BDA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restart"/>
            <w:vAlign w:val="center"/>
          </w:tcPr>
          <w:p w14:paraId="3D7AF572">
            <w:pPr>
              <w:spacing w:beforeLines="50" w:afterLines="5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含量标称值（%）</w:t>
            </w:r>
          </w:p>
        </w:tc>
        <w:tc>
          <w:tcPr>
            <w:tcW w:w="2977" w:type="dxa"/>
            <w:gridSpan w:val="3"/>
            <w:vAlign w:val="center"/>
          </w:tcPr>
          <w:p w14:paraId="63A3A1A8">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各平行子样转基因含量（%）</w:t>
            </w:r>
          </w:p>
        </w:tc>
        <w:tc>
          <w:tcPr>
            <w:tcW w:w="1276" w:type="dxa"/>
            <w:vMerge w:val="restart"/>
            <w:vAlign w:val="center"/>
          </w:tcPr>
          <w:p w14:paraId="69A8E072">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平均值（%）</w:t>
            </w:r>
          </w:p>
        </w:tc>
        <w:tc>
          <w:tcPr>
            <w:tcW w:w="1417" w:type="dxa"/>
            <w:vMerge w:val="restart"/>
            <w:vAlign w:val="center"/>
          </w:tcPr>
          <w:p w14:paraId="1129FF6B">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相对偏倚（%）</w:t>
            </w:r>
          </w:p>
        </w:tc>
        <w:tc>
          <w:tcPr>
            <w:tcW w:w="1276" w:type="dxa"/>
            <w:vMerge w:val="restart"/>
            <w:vAlign w:val="center"/>
          </w:tcPr>
          <w:p w14:paraId="3128978A">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标准差SD（%）</w:t>
            </w:r>
          </w:p>
        </w:tc>
        <w:tc>
          <w:tcPr>
            <w:tcW w:w="1324" w:type="dxa"/>
            <w:vMerge w:val="restart"/>
            <w:vAlign w:val="center"/>
          </w:tcPr>
          <w:p w14:paraId="7A2425F0">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相对标准差RSD（%）</w:t>
            </w:r>
          </w:p>
        </w:tc>
      </w:tr>
      <w:tr w14:paraId="36AD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vAlign w:val="center"/>
          </w:tcPr>
          <w:p w14:paraId="4B03543E">
            <w:pPr>
              <w:jc w:val="center"/>
              <w:rPr>
                <w:rFonts w:hint="default" w:ascii="Times New Roman" w:hAnsi="Times New Roman" w:eastAsia="宋体" w:cs="Times New Roman"/>
                <w:bCs/>
                <w:sz w:val="18"/>
                <w:szCs w:val="18"/>
              </w:rPr>
            </w:pPr>
          </w:p>
        </w:tc>
        <w:tc>
          <w:tcPr>
            <w:tcW w:w="992" w:type="dxa"/>
            <w:vAlign w:val="center"/>
          </w:tcPr>
          <w:p w14:paraId="1AF84D9A">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子样1</w:t>
            </w:r>
          </w:p>
        </w:tc>
        <w:tc>
          <w:tcPr>
            <w:tcW w:w="1134" w:type="dxa"/>
            <w:vAlign w:val="center"/>
          </w:tcPr>
          <w:p w14:paraId="22C2F29D">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子样2</w:t>
            </w:r>
          </w:p>
        </w:tc>
        <w:tc>
          <w:tcPr>
            <w:tcW w:w="851" w:type="dxa"/>
            <w:vAlign w:val="center"/>
          </w:tcPr>
          <w:p w14:paraId="2FBF4E5F">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子样3</w:t>
            </w:r>
          </w:p>
        </w:tc>
        <w:tc>
          <w:tcPr>
            <w:tcW w:w="1276" w:type="dxa"/>
            <w:vMerge w:val="continue"/>
            <w:vAlign w:val="center"/>
          </w:tcPr>
          <w:p w14:paraId="35376DDD">
            <w:pPr>
              <w:jc w:val="center"/>
              <w:rPr>
                <w:rFonts w:hint="default" w:ascii="Times New Roman" w:hAnsi="Times New Roman" w:eastAsia="宋体" w:cs="Times New Roman"/>
                <w:bCs/>
                <w:sz w:val="18"/>
                <w:szCs w:val="18"/>
              </w:rPr>
            </w:pPr>
          </w:p>
        </w:tc>
        <w:tc>
          <w:tcPr>
            <w:tcW w:w="1417" w:type="dxa"/>
            <w:vMerge w:val="continue"/>
            <w:vAlign w:val="center"/>
          </w:tcPr>
          <w:p w14:paraId="3969208B">
            <w:pPr>
              <w:jc w:val="center"/>
              <w:rPr>
                <w:rFonts w:hint="default" w:ascii="Times New Roman" w:hAnsi="Times New Roman" w:eastAsia="宋体" w:cs="Times New Roman"/>
                <w:bCs/>
                <w:sz w:val="18"/>
                <w:szCs w:val="18"/>
              </w:rPr>
            </w:pPr>
          </w:p>
        </w:tc>
        <w:tc>
          <w:tcPr>
            <w:tcW w:w="1276" w:type="dxa"/>
            <w:vMerge w:val="continue"/>
            <w:vAlign w:val="center"/>
          </w:tcPr>
          <w:p w14:paraId="44817CEB">
            <w:pPr>
              <w:jc w:val="center"/>
              <w:rPr>
                <w:rFonts w:hint="default" w:ascii="Times New Roman" w:hAnsi="Times New Roman" w:eastAsia="宋体" w:cs="Times New Roman"/>
                <w:bCs/>
                <w:sz w:val="18"/>
                <w:szCs w:val="18"/>
              </w:rPr>
            </w:pPr>
          </w:p>
        </w:tc>
        <w:tc>
          <w:tcPr>
            <w:tcW w:w="1324" w:type="dxa"/>
            <w:vMerge w:val="continue"/>
            <w:vAlign w:val="center"/>
          </w:tcPr>
          <w:p w14:paraId="0DC8E88B">
            <w:pPr>
              <w:jc w:val="center"/>
              <w:rPr>
                <w:rFonts w:hint="default" w:ascii="Times New Roman" w:hAnsi="Times New Roman" w:eastAsia="宋体" w:cs="Times New Roman"/>
                <w:bCs/>
                <w:sz w:val="18"/>
                <w:szCs w:val="18"/>
              </w:rPr>
            </w:pPr>
          </w:p>
        </w:tc>
      </w:tr>
      <w:tr w14:paraId="1723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604DFFC4">
            <w:pPr>
              <w:spacing w:line="276" w:lineRule="auto"/>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5.0</w:t>
            </w:r>
          </w:p>
        </w:tc>
        <w:tc>
          <w:tcPr>
            <w:tcW w:w="992" w:type="dxa"/>
            <w:vAlign w:val="center"/>
          </w:tcPr>
          <w:p w14:paraId="685E2E04">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5.02</w:t>
            </w:r>
          </w:p>
        </w:tc>
        <w:tc>
          <w:tcPr>
            <w:tcW w:w="1134" w:type="dxa"/>
            <w:vAlign w:val="center"/>
          </w:tcPr>
          <w:p w14:paraId="580DD731">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4.93</w:t>
            </w:r>
          </w:p>
        </w:tc>
        <w:tc>
          <w:tcPr>
            <w:tcW w:w="851" w:type="dxa"/>
            <w:tcBorders>
              <w:bottom w:val="nil"/>
            </w:tcBorders>
            <w:vAlign w:val="center"/>
          </w:tcPr>
          <w:p w14:paraId="1D0158BC">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5.20</w:t>
            </w:r>
          </w:p>
        </w:tc>
        <w:tc>
          <w:tcPr>
            <w:tcW w:w="1276" w:type="dxa"/>
            <w:shd w:val="clear" w:color="auto" w:fill="auto"/>
            <w:vAlign w:val="center"/>
          </w:tcPr>
          <w:p w14:paraId="24719FB8">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5.050</w:t>
            </w:r>
          </w:p>
        </w:tc>
        <w:tc>
          <w:tcPr>
            <w:tcW w:w="1417" w:type="dxa"/>
            <w:shd w:val="clear" w:color="auto" w:fill="auto"/>
            <w:vAlign w:val="center"/>
          </w:tcPr>
          <w:p w14:paraId="7CC32B29">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1.000</w:t>
            </w:r>
          </w:p>
        </w:tc>
        <w:tc>
          <w:tcPr>
            <w:tcW w:w="1276" w:type="dxa"/>
            <w:shd w:val="clear" w:color="auto" w:fill="auto"/>
            <w:vAlign w:val="center"/>
          </w:tcPr>
          <w:p w14:paraId="61269754">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0.137</w:t>
            </w:r>
          </w:p>
        </w:tc>
        <w:tc>
          <w:tcPr>
            <w:tcW w:w="1324" w:type="dxa"/>
            <w:shd w:val="clear" w:color="auto" w:fill="auto"/>
            <w:vAlign w:val="center"/>
          </w:tcPr>
          <w:p w14:paraId="3D645308">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2.722</w:t>
            </w:r>
          </w:p>
        </w:tc>
      </w:tr>
      <w:tr w14:paraId="09AC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5FD26AE7">
            <w:pPr>
              <w:spacing w:line="276" w:lineRule="auto"/>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3.0</w:t>
            </w:r>
          </w:p>
        </w:tc>
        <w:tc>
          <w:tcPr>
            <w:tcW w:w="992" w:type="dxa"/>
            <w:tcBorders>
              <w:bottom w:val="single" w:color="auto" w:sz="4" w:space="0"/>
            </w:tcBorders>
            <w:vAlign w:val="center"/>
          </w:tcPr>
          <w:p w14:paraId="0F508446">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2.93</w:t>
            </w:r>
          </w:p>
        </w:tc>
        <w:tc>
          <w:tcPr>
            <w:tcW w:w="1134" w:type="dxa"/>
            <w:tcBorders>
              <w:bottom w:val="single" w:color="auto" w:sz="4" w:space="0"/>
            </w:tcBorders>
            <w:vAlign w:val="center"/>
          </w:tcPr>
          <w:p w14:paraId="33F37E3E">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3.08</w:t>
            </w:r>
          </w:p>
        </w:tc>
        <w:tc>
          <w:tcPr>
            <w:tcW w:w="851" w:type="dxa"/>
            <w:tcBorders>
              <w:bottom w:val="single" w:color="auto" w:sz="4" w:space="0"/>
            </w:tcBorders>
            <w:vAlign w:val="center"/>
          </w:tcPr>
          <w:p w14:paraId="0983C79A">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2.91</w:t>
            </w:r>
          </w:p>
        </w:tc>
        <w:tc>
          <w:tcPr>
            <w:tcW w:w="1276" w:type="dxa"/>
            <w:tcBorders>
              <w:bottom w:val="single" w:color="auto" w:sz="4" w:space="0"/>
            </w:tcBorders>
            <w:shd w:val="clear" w:color="auto" w:fill="auto"/>
            <w:vAlign w:val="center"/>
          </w:tcPr>
          <w:p w14:paraId="5177AF87">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2.973</w:t>
            </w:r>
          </w:p>
        </w:tc>
        <w:tc>
          <w:tcPr>
            <w:tcW w:w="1417" w:type="dxa"/>
            <w:tcBorders>
              <w:bottom w:val="single" w:color="auto" w:sz="4" w:space="0"/>
            </w:tcBorders>
            <w:shd w:val="clear" w:color="auto" w:fill="auto"/>
            <w:vAlign w:val="center"/>
          </w:tcPr>
          <w:p w14:paraId="7DCB6F13">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-0.889</w:t>
            </w:r>
          </w:p>
        </w:tc>
        <w:tc>
          <w:tcPr>
            <w:tcW w:w="1276" w:type="dxa"/>
            <w:tcBorders>
              <w:bottom w:val="single" w:color="auto" w:sz="4" w:space="0"/>
            </w:tcBorders>
            <w:shd w:val="clear" w:color="auto" w:fill="auto"/>
            <w:vAlign w:val="center"/>
          </w:tcPr>
          <w:p w14:paraId="6C837EEC">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0.093</w:t>
            </w:r>
          </w:p>
        </w:tc>
        <w:tc>
          <w:tcPr>
            <w:tcW w:w="1324" w:type="dxa"/>
            <w:tcBorders>
              <w:bottom w:val="single" w:color="auto" w:sz="4" w:space="0"/>
            </w:tcBorders>
            <w:shd w:val="clear" w:color="auto" w:fill="auto"/>
            <w:vAlign w:val="center"/>
          </w:tcPr>
          <w:p w14:paraId="0E86607E">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3.125</w:t>
            </w:r>
          </w:p>
        </w:tc>
      </w:tr>
      <w:tr w14:paraId="2CA6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5141B2AB">
            <w:pPr>
              <w:spacing w:line="276" w:lineRule="auto"/>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1.0</w:t>
            </w:r>
          </w:p>
        </w:tc>
        <w:tc>
          <w:tcPr>
            <w:tcW w:w="992" w:type="dxa"/>
            <w:vAlign w:val="center"/>
          </w:tcPr>
          <w:p w14:paraId="4A5D7F8E">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0.89</w:t>
            </w:r>
          </w:p>
        </w:tc>
        <w:tc>
          <w:tcPr>
            <w:tcW w:w="1134" w:type="dxa"/>
            <w:vAlign w:val="center"/>
          </w:tcPr>
          <w:p w14:paraId="020414B2">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0.92</w:t>
            </w:r>
          </w:p>
        </w:tc>
        <w:tc>
          <w:tcPr>
            <w:tcW w:w="851" w:type="dxa"/>
            <w:vAlign w:val="center"/>
          </w:tcPr>
          <w:p w14:paraId="7811A539">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0.91</w:t>
            </w:r>
          </w:p>
        </w:tc>
        <w:tc>
          <w:tcPr>
            <w:tcW w:w="1276" w:type="dxa"/>
            <w:shd w:val="clear" w:color="auto" w:fill="auto"/>
            <w:vAlign w:val="center"/>
          </w:tcPr>
          <w:p w14:paraId="2D6B4D2A">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0.907</w:t>
            </w:r>
          </w:p>
        </w:tc>
        <w:tc>
          <w:tcPr>
            <w:tcW w:w="1417" w:type="dxa"/>
            <w:shd w:val="clear" w:color="auto" w:fill="auto"/>
            <w:vAlign w:val="center"/>
          </w:tcPr>
          <w:p w14:paraId="1967120D">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-9.333</w:t>
            </w:r>
          </w:p>
        </w:tc>
        <w:tc>
          <w:tcPr>
            <w:tcW w:w="1276" w:type="dxa"/>
            <w:shd w:val="clear" w:color="auto" w:fill="auto"/>
            <w:vAlign w:val="center"/>
          </w:tcPr>
          <w:p w14:paraId="085351A8">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0.015</w:t>
            </w:r>
          </w:p>
        </w:tc>
        <w:tc>
          <w:tcPr>
            <w:tcW w:w="1324" w:type="dxa"/>
            <w:shd w:val="clear" w:color="auto" w:fill="auto"/>
            <w:vAlign w:val="center"/>
          </w:tcPr>
          <w:p w14:paraId="0F228CD0">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1.685</w:t>
            </w:r>
          </w:p>
        </w:tc>
      </w:tr>
      <w:tr w14:paraId="5F96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5C97DF6E">
            <w:pPr>
              <w:spacing w:line="276" w:lineRule="auto"/>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0.5</w:t>
            </w:r>
          </w:p>
        </w:tc>
        <w:tc>
          <w:tcPr>
            <w:tcW w:w="992" w:type="dxa"/>
            <w:vAlign w:val="center"/>
          </w:tcPr>
          <w:p w14:paraId="1BA92C87">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0.57</w:t>
            </w:r>
          </w:p>
        </w:tc>
        <w:tc>
          <w:tcPr>
            <w:tcW w:w="1134" w:type="dxa"/>
            <w:vAlign w:val="center"/>
          </w:tcPr>
          <w:p w14:paraId="39EEF656">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0.53</w:t>
            </w:r>
          </w:p>
        </w:tc>
        <w:tc>
          <w:tcPr>
            <w:tcW w:w="851" w:type="dxa"/>
            <w:vAlign w:val="center"/>
          </w:tcPr>
          <w:p w14:paraId="4039CBE9">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0.56</w:t>
            </w:r>
          </w:p>
        </w:tc>
        <w:tc>
          <w:tcPr>
            <w:tcW w:w="1276" w:type="dxa"/>
            <w:shd w:val="clear" w:color="auto" w:fill="auto"/>
            <w:vAlign w:val="center"/>
          </w:tcPr>
          <w:p w14:paraId="4E97A023">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0.553</w:t>
            </w:r>
          </w:p>
        </w:tc>
        <w:tc>
          <w:tcPr>
            <w:tcW w:w="1417" w:type="dxa"/>
            <w:shd w:val="clear" w:color="auto" w:fill="auto"/>
            <w:vAlign w:val="center"/>
          </w:tcPr>
          <w:p w14:paraId="62A75B41">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10.667</w:t>
            </w:r>
          </w:p>
        </w:tc>
        <w:tc>
          <w:tcPr>
            <w:tcW w:w="1276" w:type="dxa"/>
            <w:shd w:val="clear" w:color="auto" w:fill="auto"/>
            <w:vAlign w:val="center"/>
          </w:tcPr>
          <w:p w14:paraId="59B7896B">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0.021</w:t>
            </w:r>
          </w:p>
        </w:tc>
        <w:tc>
          <w:tcPr>
            <w:tcW w:w="1324" w:type="dxa"/>
            <w:shd w:val="clear" w:color="auto" w:fill="auto"/>
            <w:vAlign w:val="center"/>
          </w:tcPr>
          <w:p w14:paraId="4F0BDB48">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3.762</w:t>
            </w:r>
          </w:p>
        </w:tc>
      </w:tr>
      <w:tr w14:paraId="6E77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1B022367">
            <w:pPr>
              <w:spacing w:line="276" w:lineRule="auto"/>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0.1</w:t>
            </w:r>
          </w:p>
        </w:tc>
        <w:tc>
          <w:tcPr>
            <w:tcW w:w="992" w:type="dxa"/>
            <w:tcBorders>
              <w:bottom w:val="single" w:color="auto" w:sz="4" w:space="0"/>
            </w:tcBorders>
            <w:vAlign w:val="center"/>
          </w:tcPr>
          <w:p w14:paraId="4819F590">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0.09</w:t>
            </w:r>
          </w:p>
        </w:tc>
        <w:tc>
          <w:tcPr>
            <w:tcW w:w="1134" w:type="dxa"/>
            <w:tcBorders>
              <w:bottom w:val="single" w:color="auto" w:sz="4" w:space="0"/>
            </w:tcBorders>
            <w:vAlign w:val="center"/>
          </w:tcPr>
          <w:p w14:paraId="177DE343">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0.09</w:t>
            </w:r>
          </w:p>
        </w:tc>
        <w:tc>
          <w:tcPr>
            <w:tcW w:w="851" w:type="dxa"/>
            <w:tcBorders>
              <w:bottom w:val="single" w:color="auto" w:sz="4" w:space="0"/>
            </w:tcBorders>
            <w:vAlign w:val="center"/>
          </w:tcPr>
          <w:p w14:paraId="68720E6C">
            <w:pPr>
              <w:widowControl/>
              <w:spacing w:line="276" w:lineRule="auto"/>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1276" w:type="dxa"/>
            <w:tcBorders>
              <w:bottom w:val="single" w:color="auto" w:sz="4" w:space="0"/>
            </w:tcBorders>
            <w:shd w:val="clear" w:color="auto" w:fill="auto"/>
            <w:vAlign w:val="center"/>
          </w:tcPr>
          <w:p w14:paraId="38F143E0">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0.097</w:t>
            </w:r>
          </w:p>
        </w:tc>
        <w:tc>
          <w:tcPr>
            <w:tcW w:w="1417" w:type="dxa"/>
            <w:tcBorders>
              <w:bottom w:val="single" w:color="auto" w:sz="4" w:space="0"/>
            </w:tcBorders>
            <w:shd w:val="clear" w:color="auto" w:fill="auto"/>
            <w:vAlign w:val="center"/>
          </w:tcPr>
          <w:p w14:paraId="051A8838">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-3.333</w:t>
            </w:r>
          </w:p>
        </w:tc>
        <w:tc>
          <w:tcPr>
            <w:tcW w:w="1276" w:type="dxa"/>
            <w:tcBorders>
              <w:bottom w:val="single" w:color="auto" w:sz="4" w:space="0"/>
            </w:tcBorders>
            <w:shd w:val="clear" w:color="auto" w:fill="auto"/>
            <w:vAlign w:val="center"/>
          </w:tcPr>
          <w:p w14:paraId="31C4300B">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0.012</w:t>
            </w:r>
          </w:p>
        </w:tc>
        <w:tc>
          <w:tcPr>
            <w:tcW w:w="1324" w:type="dxa"/>
            <w:tcBorders>
              <w:bottom w:val="single" w:color="auto" w:sz="4" w:space="0"/>
            </w:tcBorders>
            <w:shd w:val="clear" w:color="auto" w:fill="auto"/>
            <w:vAlign w:val="center"/>
          </w:tcPr>
          <w:p w14:paraId="718B20EE">
            <w:pPr>
              <w:widowControl/>
              <w:spacing w:line="276" w:lineRule="auto"/>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11.945</w:t>
            </w:r>
          </w:p>
        </w:tc>
      </w:tr>
    </w:tbl>
    <w:p w14:paraId="5619E532"/>
    <w:p w14:paraId="24AB9079">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6.3.4 正确度和精密度结果判定</w:t>
      </w:r>
    </w:p>
    <w:p w14:paraId="41858B6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表</w:t>
      </w:r>
      <w:r>
        <w:rPr>
          <w:rFonts w:hint="eastAsia" w:cs="Times New Roman"/>
          <w:color w:val="auto"/>
          <w:sz w:val="21"/>
          <w:szCs w:val="21"/>
          <w:highlight w:val="none"/>
          <w:lang w:val="en-US" w:eastAsia="zh-CN"/>
        </w:rPr>
        <w:t>2-16</w:t>
      </w:r>
      <w:r>
        <w:rPr>
          <w:rFonts w:hint="default" w:ascii="Times New Roman" w:hAnsi="Times New Roman" w:eastAsia="宋体" w:cs="Times New Roman"/>
          <w:color w:val="auto"/>
          <w:sz w:val="21"/>
          <w:szCs w:val="21"/>
          <w:highlight w:val="none"/>
        </w:rPr>
        <w:t>结果显示，5个含量样品测量平均值与标称值的相对偏倚</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QUOTE </w:instrText>
      </w:r>
      <w:r>
        <w:rPr>
          <w:rFonts w:hint="default" w:ascii="Times New Roman" w:hAnsi="Times New Roman" w:eastAsia="宋体" w:cs="Times New Roman"/>
          <w:color w:val="auto"/>
          <w:sz w:val="21"/>
          <w:szCs w:val="21"/>
          <w:highlight w:val="none"/>
        </w:rPr>
        <w:drawing>
          <wp:inline distT="0" distB="0" distL="114300" distR="114300">
            <wp:extent cx="370840" cy="293370"/>
            <wp:effectExtent l="0" t="0" r="10160" b="0"/>
            <wp:docPr id="12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9"/>
                    <pic:cNvPicPr>
                      <a:picLocks noChangeAspect="1"/>
                    </pic:cNvPicPr>
                  </pic:nvPicPr>
                  <pic:blipFill>
                    <a:blip r:embed="rId47">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fldChar w:fldCharType="end"/>
      </w:r>
      <w:r>
        <w:rPr>
          <w:rFonts w:hint="eastAsia" w:cs="Times New Roman"/>
          <w:i/>
          <w:iCs/>
          <w:color w:val="auto"/>
          <w:sz w:val="21"/>
          <w:szCs w:val="21"/>
          <w:highlight w:val="none"/>
          <w:lang w:eastAsia="zh-CN"/>
        </w:rPr>
        <w:t>bias</w:t>
      </w:r>
      <w:r>
        <w:rPr>
          <w:rFonts w:hint="default" w:ascii="Times New Roman" w:hAnsi="Times New Roman" w:eastAsia="宋体" w:cs="Times New Roman"/>
          <w:i/>
          <w:iCs/>
          <w:color w:val="auto"/>
          <w:sz w:val="21"/>
          <w:szCs w:val="21"/>
          <w:highlight w:val="none"/>
        </w:rPr>
        <w:t>R</w:t>
      </w:r>
      <w:r>
        <w:rPr>
          <w:rFonts w:hint="default" w:ascii="Times New Roman" w:hAnsi="Times New Roman" w:eastAsia="宋体" w:cs="Times New Roman"/>
          <w:color w:val="auto"/>
          <w:sz w:val="21"/>
          <w:szCs w:val="21"/>
          <w:highlight w:val="none"/>
        </w:rPr>
        <w:t>在-</w:t>
      </w:r>
      <w:r>
        <w:rPr>
          <w:rFonts w:hint="eastAsia" w:cs="Times New Roman"/>
          <w:i w:val="0"/>
          <w:iCs w:val="0"/>
          <w:color w:val="auto"/>
          <w:kern w:val="0"/>
          <w:sz w:val="21"/>
          <w:szCs w:val="21"/>
          <w:highlight w:val="none"/>
          <w:u w:val="none"/>
          <w:lang w:val="en-US" w:eastAsia="zh-CN" w:bidi="ar"/>
        </w:rPr>
        <w:t>9.333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i w:val="0"/>
          <w:iCs w:val="0"/>
          <w:color w:val="auto"/>
          <w:kern w:val="0"/>
          <w:sz w:val="21"/>
          <w:szCs w:val="21"/>
          <w:highlight w:val="none"/>
          <w:u w:val="none"/>
          <w:lang w:val="en-US" w:eastAsia="zh-CN" w:bidi="ar"/>
        </w:rPr>
        <w:t>10.667</w:t>
      </w:r>
      <w:r>
        <w:rPr>
          <w:rFonts w:hint="default" w:ascii="Times New Roman" w:hAnsi="Times New Roman" w:eastAsia="宋体" w:cs="Times New Roman"/>
          <w:color w:val="auto"/>
          <w:sz w:val="21"/>
          <w:szCs w:val="21"/>
          <w:highlight w:val="none"/>
        </w:rPr>
        <w:t>%之间，在允许的±25%区间内，表明</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转化体荧光定量PCR方法测量结果具有良好的正确度；5个含量样品的重复性相对标准差RS</w:t>
      </w:r>
      <w:r>
        <w:rPr>
          <w:rFonts w:hint="default" w:cs="Times New Roman"/>
          <w:color w:val="auto"/>
          <w:sz w:val="21"/>
          <w:szCs w:val="21"/>
          <w:highlight w:val="none"/>
          <w:lang w:eastAsia="zh-CN"/>
        </w:rPr>
        <w:t>D在</w:t>
      </w:r>
      <w:r>
        <w:rPr>
          <w:rFonts w:hint="eastAsia" w:cs="Times New Roman"/>
          <w:color w:val="auto"/>
          <w:sz w:val="21"/>
          <w:szCs w:val="21"/>
          <w:highlight w:val="none"/>
          <w:lang w:val="en-US" w:eastAsia="zh-CN"/>
        </w:rPr>
        <w:t>1.685</w:t>
      </w:r>
      <w:r>
        <w:rPr>
          <w:rFonts w:hint="default" w:cs="Times New Roman"/>
          <w:color w:val="auto"/>
          <w:sz w:val="21"/>
          <w:szCs w:val="21"/>
          <w:highlight w:val="none"/>
          <w:lang w:eastAsia="zh-CN"/>
        </w:rPr>
        <w:t>%～</w:t>
      </w:r>
      <w:r>
        <w:rPr>
          <w:rFonts w:hint="eastAsia" w:cs="Times New Roman"/>
          <w:color w:val="auto"/>
          <w:sz w:val="21"/>
          <w:szCs w:val="21"/>
          <w:highlight w:val="none"/>
          <w:lang w:val="en-US" w:eastAsia="zh-CN"/>
        </w:rPr>
        <w:t>11.945</w:t>
      </w:r>
      <w:r>
        <w:rPr>
          <w:rFonts w:hint="default" w:cs="Times New Roman"/>
          <w:color w:val="auto"/>
          <w:sz w:val="21"/>
          <w:szCs w:val="21"/>
          <w:highlight w:val="none"/>
          <w:lang w:eastAsia="zh-CN"/>
        </w:rPr>
        <w:t>%之</w:t>
      </w:r>
      <w:r>
        <w:rPr>
          <w:rFonts w:hint="default" w:ascii="Times New Roman" w:hAnsi="Times New Roman" w:eastAsia="宋体" w:cs="Times New Roman"/>
          <w:color w:val="auto"/>
          <w:sz w:val="21"/>
          <w:szCs w:val="21"/>
          <w:highlight w:val="none"/>
        </w:rPr>
        <w:t>间，均小于规定的25%。重复性分析结果表明</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转化体荧光定量PCR方法测量结果具有良好的精密度。</w:t>
      </w:r>
    </w:p>
    <w:p w14:paraId="03569EF5">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 检出限（LOD）和定量限（LOQ）的测试</w:t>
      </w:r>
    </w:p>
    <w:p w14:paraId="3EA5AF23">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7.1 检出限（LOD）</w:t>
      </w:r>
    </w:p>
    <w:p w14:paraId="0B0222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同</w:t>
      </w:r>
      <w:r>
        <w:rPr>
          <w:rFonts w:hint="eastAsia" w:ascii="Times New Roman" w:hAnsi="Times New Roman" w:eastAsia="宋体" w:cs="Times New Roman"/>
          <w:color w:val="auto"/>
          <w:sz w:val="21"/>
          <w:szCs w:val="21"/>
          <w:highlight w:val="none"/>
          <w:lang w:eastAsia="zh-CN"/>
        </w:rPr>
        <w:t>方法一</w:t>
      </w:r>
      <w:r>
        <w:rPr>
          <w:rFonts w:hint="default" w:ascii="Times New Roman" w:hAnsi="Times New Roman" w:eastAsia="宋体" w:cs="Times New Roman"/>
          <w:color w:val="auto"/>
          <w:sz w:val="21"/>
          <w:szCs w:val="21"/>
          <w:highlight w:val="none"/>
        </w:rPr>
        <w:t>的5。</w:t>
      </w:r>
    </w:p>
    <w:p w14:paraId="1D98223D">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7.2 定量限（LOQ）</w:t>
      </w:r>
    </w:p>
    <w:p w14:paraId="4E6DC2CF">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7.2.1 定量限判定标准</w:t>
      </w:r>
    </w:p>
    <w:p w14:paraId="702F5281">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w:t>
      </w:r>
      <w:r>
        <w:rPr>
          <w:rFonts w:hint="eastAsia" w:cs="Times New Roman"/>
          <w:color w:val="auto"/>
          <w:sz w:val="21"/>
          <w:szCs w:val="21"/>
          <w:highlight w:val="none"/>
          <w:lang w:eastAsia="zh-CN"/>
        </w:rPr>
        <w:t>农业部2259号公告—5—2015</w:t>
      </w:r>
      <w:r>
        <w:rPr>
          <w:rFonts w:hint="default" w:ascii="Times New Roman" w:hAnsi="Times New Roman" w:eastAsia="宋体" w:cs="Times New Roman"/>
          <w:color w:val="auto"/>
          <w:sz w:val="21"/>
          <w:szCs w:val="21"/>
          <w:highlight w:val="none"/>
        </w:rPr>
        <w:t>等标准规定，转基因检测方法的定量限应不高于目标浓度（转基因的标识阈值）的1/10。由于我国目前法律尚未规定转基因的标识阈值，因此本方法制定时的目标浓度参考欧盟阈值0.9%，将目标浓度设定为1%，因此确定了定量限不高于0.1%。</w:t>
      </w:r>
    </w:p>
    <w:p w14:paraId="62BA7F0C">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7.2.2 定量限的初步测试样品设定要求</w:t>
      </w:r>
    </w:p>
    <w:p w14:paraId="47FFA3C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定量限测试时，在100 ng基因组DNA的体系中，样品的设置必须包含的6个样品为：（1）转基因拷贝数含量为0.1%（相对含量）的测试样品；（2）转化体基因组DNA不高于40个拷贝（绝对含量）的测试样品；（3）转化体基因组DNA为1个拷贝的质控样品；（4）空白质控品；（5）阴性质控品；（6）其他样品浓度在1-40拷贝之间选择。</w:t>
      </w:r>
    </w:p>
    <w:p w14:paraId="40F07A80">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7.2.3 测试样品的初始化浓度</w:t>
      </w:r>
    </w:p>
    <w:p w14:paraId="19524CE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将提取的</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转化体及其非转基因对照的基因组DNA用0.1×TE稀释成50 ng/µL（并换算成拷贝数浓度20000 copies/µL），确保体系中加入2µL样品后DNA模板量为100 ng。</w:t>
      </w:r>
    </w:p>
    <w:p w14:paraId="3A420772">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7.2.4 定量限测试样品的配制、初步测试和初始化浓度测定值的准确性判断</w:t>
      </w:r>
    </w:p>
    <w:p w14:paraId="4A4F008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将50 ng/µL的</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转化体基因组DNA，用50 ng/µL的非转基因玉米基因组DNA，梯度稀释成</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转化体拷贝数比值为0.25%、0.10%、0.05%、0.025%、0.0125%、0.0025%共6个测试样品，对应的转化体拷贝数浓度为50、20、10、5、2.5、0.5 copies/µL。反应体系中加入2 µL测试样品，每个测试样品进行10个反应，同时设置阴性质控品和空白质控品。</w:t>
      </w:r>
    </w:p>
    <w:p w14:paraId="6D4BEB1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模板浓度的准确性判断：若当模板量为1 copy时，10个反应中有2-5个阴性反应，表明梯度稀释的模板DNA浓度大致准确，否则重新进行DNA模板浓度测定及稀释。</w:t>
      </w:r>
    </w:p>
    <w:p w14:paraId="57EBBD1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测试结果（同5.6）显示，当模板量为1 copy时，10个反应中有</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个阳性反应，表明梯度稀释的模板DNA浓度大致准确。</w:t>
      </w:r>
    </w:p>
    <w:p w14:paraId="29BBC59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转化体拷贝数为50、20、10、5copies/μL共4个浓度的测试样品，进行10个反应的定量测试，将测试样品的</w:t>
      </w:r>
      <w:r>
        <w:rPr>
          <w:rFonts w:hint="default" w:ascii="Times New Roman" w:hAnsi="Times New Roman" w:eastAsia="宋体" w:cs="Times New Roman"/>
          <w:i/>
          <w:iCs/>
          <w:color w:val="auto"/>
          <w:sz w:val="21"/>
          <w:szCs w:val="21"/>
          <w:highlight w:val="none"/>
        </w:rPr>
        <w:t>Ct</w:t>
      </w:r>
      <w:r>
        <w:rPr>
          <w:rFonts w:hint="default" w:ascii="Times New Roman" w:hAnsi="Times New Roman" w:eastAsia="宋体" w:cs="Times New Roman"/>
          <w:color w:val="auto"/>
          <w:sz w:val="21"/>
          <w:szCs w:val="21"/>
          <w:highlight w:val="none"/>
        </w:rPr>
        <w:t>值带入标准曲线，计算每个稀释样品的拷贝数浓度（表</w:t>
      </w:r>
      <w:r>
        <w:rPr>
          <w:rFonts w:hint="eastAsia" w:cs="Times New Roman"/>
          <w:color w:val="auto"/>
          <w:sz w:val="21"/>
          <w:szCs w:val="21"/>
          <w:highlight w:val="none"/>
          <w:lang w:val="en-US" w:eastAsia="zh-CN"/>
        </w:rPr>
        <w:t>2-17</w:t>
      </w:r>
      <w:r>
        <w:rPr>
          <w:rFonts w:hint="eastAsia" w:ascii="Times New Roman" w:hAnsi="Times New Roman" w:eastAsia="宋体" w:cs="Times New Roman"/>
          <w:color w:val="auto"/>
          <w:sz w:val="21"/>
          <w:szCs w:val="21"/>
          <w:highlight w:val="none"/>
        </w:rPr>
        <w:t>和图</w:t>
      </w:r>
      <w:r>
        <w:rPr>
          <w:rFonts w:hint="eastAsia" w:cs="Times New Roman"/>
          <w:color w:val="auto"/>
          <w:sz w:val="21"/>
          <w:szCs w:val="21"/>
          <w:highlight w:val="none"/>
          <w:lang w:val="en-US" w:eastAsia="zh-CN"/>
        </w:rPr>
        <w:t>2-12</w:t>
      </w:r>
      <w:r>
        <w:rPr>
          <w:rFonts w:hint="default" w:ascii="Times New Roman" w:hAnsi="Times New Roman" w:eastAsia="宋体" w:cs="Times New Roman"/>
          <w:color w:val="auto"/>
          <w:sz w:val="21"/>
          <w:szCs w:val="21"/>
          <w:highlight w:val="none"/>
        </w:rPr>
        <w:t>）。对测试结果按6.3的方法进行测量结果的精密度和正确度分析。</w:t>
      </w:r>
    </w:p>
    <w:p w14:paraId="370FD25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测试结果显示（表</w:t>
      </w:r>
      <w:r>
        <w:rPr>
          <w:rFonts w:hint="eastAsia" w:cs="Times New Roman"/>
          <w:color w:val="auto"/>
          <w:sz w:val="21"/>
          <w:szCs w:val="21"/>
          <w:highlight w:val="none"/>
          <w:lang w:val="en-US" w:eastAsia="zh-CN"/>
        </w:rPr>
        <w:t>2-18</w:t>
      </w:r>
      <w:r>
        <w:rPr>
          <w:rFonts w:hint="default" w:ascii="Times New Roman" w:hAnsi="Times New Roman" w:eastAsia="宋体" w:cs="Times New Roman"/>
          <w:color w:val="auto"/>
          <w:sz w:val="21"/>
          <w:szCs w:val="21"/>
          <w:highlight w:val="none"/>
        </w:rPr>
        <w:t>），当模板量为100、40、20、10 copies时，10个反应均能得到典型扩增曲线，RSD</w:t>
      </w:r>
      <w:r>
        <w:rPr>
          <w:rFonts w:hint="eastAsia" w:cs="Times New Roman"/>
          <w:color w:val="auto"/>
          <w:sz w:val="21"/>
          <w:szCs w:val="21"/>
          <w:highlight w:val="none"/>
          <w:lang w:val="en-US" w:eastAsia="zh-CN"/>
        </w:rPr>
        <w:t>r</w:t>
      </w:r>
      <w:r>
        <w:rPr>
          <w:rFonts w:hint="default" w:ascii="Times New Roman" w:hAnsi="Times New Roman" w:eastAsia="宋体" w:cs="Times New Roman"/>
          <w:color w:val="auto"/>
          <w:sz w:val="21"/>
          <w:szCs w:val="21"/>
          <w:highlight w:val="none"/>
        </w:rPr>
        <w:t>分别为</w:t>
      </w:r>
      <w:r>
        <w:rPr>
          <w:rFonts w:hint="eastAsia" w:ascii="Times New Roman" w:hAnsi="Times New Roman" w:eastAsia="宋体" w:cs="Times New Roman"/>
          <w:color w:val="auto"/>
          <w:sz w:val="21"/>
          <w:szCs w:val="21"/>
          <w:highlight w:val="none"/>
          <w:lang w:val="en-US" w:eastAsia="zh-CN"/>
        </w:rPr>
        <w:t>6.85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21.18</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21.41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22.52</w:t>
      </w:r>
      <w:r>
        <w:rPr>
          <w:rFonts w:hint="default" w:ascii="Times New Roman" w:hAnsi="Times New Roman" w:eastAsia="宋体" w:cs="Times New Roman"/>
          <w:color w:val="auto"/>
          <w:sz w:val="21"/>
          <w:szCs w:val="21"/>
          <w:highlight w:val="none"/>
        </w:rPr>
        <w:t>%，</w:t>
      </w:r>
      <w:r>
        <w:rPr>
          <w:rFonts w:hint="eastAsia" w:cs="Times New Roman"/>
          <w:b w:val="0"/>
          <w:bCs w:val="0"/>
          <w:i/>
          <w:iCs/>
          <w:color w:val="auto"/>
          <w:sz w:val="21"/>
          <w:szCs w:val="21"/>
          <w:highlight w:val="none"/>
          <w:lang w:eastAsia="zh-CN"/>
        </w:rPr>
        <w:t>bias</w:t>
      </w:r>
      <w:r>
        <w:rPr>
          <w:rFonts w:hint="default" w:ascii="Times New Roman" w:hAnsi="Times New Roman" w:eastAsia="宋体" w:cs="Times New Roman"/>
          <w:color w:val="auto"/>
          <w:sz w:val="21"/>
          <w:szCs w:val="21"/>
          <w:highlight w:val="none"/>
        </w:rPr>
        <w:t>R分别为</w:t>
      </w:r>
      <w:r>
        <w:rPr>
          <w:rFonts w:hint="eastAsia" w:ascii="Times New Roman" w:hAnsi="Times New Roman" w:eastAsia="宋体" w:cs="Times New Roman"/>
          <w:color w:val="auto"/>
          <w:sz w:val="21"/>
          <w:szCs w:val="21"/>
          <w:highlight w:val="none"/>
          <w:lang w:val="en-US" w:eastAsia="zh-CN"/>
        </w:rPr>
        <w:t>5.70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6.83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4.25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23.10</w:t>
      </w:r>
      <w:r>
        <w:rPr>
          <w:rFonts w:hint="default" w:ascii="Times New Roman" w:hAnsi="Times New Roman" w:eastAsia="宋体" w:cs="Times New Roman"/>
          <w:color w:val="auto"/>
          <w:sz w:val="21"/>
          <w:szCs w:val="21"/>
          <w:highlight w:val="none"/>
        </w:rPr>
        <w:t>%。参照“</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.2.1 定量限判定标准”，初步确定抗虫耐除草剂玉米</w:t>
      </w:r>
      <w:r>
        <w:rPr>
          <w:rFonts w:hint="eastAsia" w:cs="Times New Roman"/>
          <w:color w:val="auto"/>
          <w:sz w:val="21"/>
          <w:szCs w:val="21"/>
          <w:highlight w:val="none"/>
          <w:lang w:eastAsia="zh-CN"/>
        </w:rPr>
        <w:t>QY2569-42</w:t>
      </w:r>
      <w:r>
        <w:rPr>
          <w:rFonts w:hint="default" w:ascii="Times New Roman" w:hAnsi="Times New Roman" w:eastAsia="宋体" w:cs="Times New Roman"/>
          <w:color w:val="auto"/>
          <w:sz w:val="21"/>
          <w:szCs w:val="21"/>
          <w:highlight w:val="none"/>
        </w:rPr>
        <w:t>转化体拷贝数比值为0.1%的模板浓度（体系中转化体为40个拷贝数）为能够可靠定量的最低浓度（10个反应均为阳性，且精密度和正确度分析结果符合要求）。</w:t>
      </w:r>
    </w:p>
    <w:p w14:paraId="63A07FBC">
      <w:pPr>
        <w:jc w:val="center"/>
        <w:rPr>
          <w:rFonts w:ascii="Times New Roman" w:hAnsi="Times New Roman" w:eastAsia="黑体" w:cs="Calibri"/>
          <w:kern w:val="2"/>
          <w:sz w:val="18"/>
          <w:szCs w:val="22"/>
          <w:lang w:val="en-US" w:eastAsia="zh-CN" w:bidi="ar-SA"/>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 xml:space="preserve">2-17 </w:t>
      </w:r>
      <w:r>
        <w:rPr>
          <w:rFonts w:ascii="Times New Roman" w:hAnsi="Times New Roman" w:eastAsia="黑体" w:cs="Calibri"/>
          <w:kern w:val="2"/>
          <w:sz w:val="18"/>
          <w:szCs w:val="22"/>
          <w:lang w:val="en-US" w:eastAsia="zh-CN" w:bidi="ar-SA"/>
        </w:rPr>
        <w:t>定量限初步测试数据统计</w:t>
      </w:r>
    </w:p>
    <w:tbl>
      <w:tblPr>
        <w:tblStyle w:val="16"/>
        <w:tblW w:w="45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28"/>
        <w:gridCol w:w="1069"/>
        <w:gridCol w:w="741"/>
        <w:gridCol w:w="322"/>
        <w:gridCol w:w="1066"/>
        <w:gridCol w:w="422"/>
        <w:gridCol w:w="644"/>
        <w:gridCol w:w="1067"/>
      </w:tblGrid>
      <w:tr w14:paraId="6686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restart"/>
            <w:shd w:val="clear" w:color="auto" w:fill="auto"/>
            <w:vAlign w:val="center"/>
          </w:tcPr>
          <w:p w14:paraId="70DD1E4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样品名称/编号</w:t>
            </w:r>
          </w:p>
        </w:tc>
        <w:tc>
          <w:tcPr>
            <w:tcW w:w="3462" w:type="pct"/>
            <w:gridSpan w:val="7"/>
            <w:vAlign w:val="center"/>
          </w:tcPr>
          <w:p w14:paraId="11BF6DF9">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i/>
                <w:iCs/>
                <w:sz w:val="18"/>
                <w:szCs w:val="18"/>
              </w:rPr>
              <w:t>Ct</w:t>
            </w:r>
            <w:r>
              <w:rPr>
                <w:rFonts w:hint="default" w:ascii="Times New Roman" w:hAnsi="Times New Roman" w:eastAsia="宋体" w:cs="Times New Roman"/>
                <w:b/>
                <w:bCs/>
                <w:sz w:val="18"/>
                <w:szCs w:val="18"/>
              </w:rPr>
              <w:t>值</w:t>
            </w:r>
            <w:r>
              <w:rPr>
                <w:rFonts w:hint="default" w:ascii="Times New Roman" w:hAnsi="Times New Roman" w:eastAsia="宋体" w:cs="Times New Roman"/>
                <w:b/>
                <w:bCs/>
                <w:sz w:val="18"/>
                <w:szCs w:val="18"/>
                <w:lang w:val="en-US" w:eastAsia="zh-CN"/>
              </w:rPr>
              <w:t>/拷贝数</w:t>
            </w:r>
          </w:p>
        </w:tc>
      </w:tr>
      <w:tr w14:paraId="1DB3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continue"/>
            <w:shd w:val="clear" w:color="auto" w:fill="auto"/>
            <w:vAlign w:val="center"/>
          </w:tcPr>
          <w:p w14:paraId="4A8BB0D0">
            <w:pPr>
              <w:jc w:val="center"/>
              <w:rPr>
                <w:rFonts w:hint="default" w:ascii="Times New Roman" w:hAnsi="Times New Roman" w:eastAsia="宋体" w:cs="Times New Roman"/>
                <w:b/>
                <w:bCs/>
                <w:sz w:val="18"/>
                <w:szCs w:val="18"/>
              </w:rPr>
            </w:pPr>
          </w:p>
        </w:tc>
        <w:tc>
          <w:tcPr>
            <w:tcW w:w="1175" w:type="pct"/>
            <w:gridSpan w:val="2"/>
            <w:shd w:val="clear" w:color="auto" w:fill="auto"/>
            <w:vAlign w:val="center"/>
          </w:tcPr>
          <w:p w14:paraId="7855F832">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w:t>
            </w:r>
          </w:p>
        </w:tc>
        <w:tc>
          <w:tcPr>
            <w:tcW w:w="1175" w:type="pct"/>
            <w:gridSpan w:val="3"/>
            <w:shd w:val="clear" w:color="auto" w:fill="auto"/>
            <w:vAlign w:val="center"/>
          </w:tcPr>
          <w:p w14:paraId="345418B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2</w:t>
            </w:r>
          </w:p>
        </w:tc>
        <w:tc>
          <w:tcPr>
            <w:tcW w:w="1111" w:type="pct"/>
            <w:gridSpan w:val="2"/>
            <w:shd w:val="clear" w:color="auto" w:fill="auto"/>
            <w:vAlign w:val="center"/>
          </w:tcPr>
          <w:p w14:paraId="02C4756C">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w:t>
            </w:r>
          </w:p>
        </w:tc>
      </w:tr>
      <w:tr w14:paraId="5B9B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shd w:val="clear" w:color="auto" w:fill="auto"/>
            <w:vAlign w:val="center"/>
          </w:tcPr>
          <w:p w14:paraId="30BEAD80">
            <w:pPr>
              <w:rPr>
                <w:rFonts w:hint="default" w:ascii="Times New Roman" w:hAnsi="Times New Roman" w:eastAsia="宋体" w:cs="Times New Roman"/>
                <w:kern w:val="2"/>
                <w:sz w:val="18"/>
                <w:szCs w:val="18"/>
                <w:lang w:val="en-US" w:eastAsia="zh-CN" w:bidi="ar-SA"/>
              </w:rPr>
            </w:pPr>
            <w:r>
              <w:rPr>
                <w:rFonts w:hint="eastAsia" w:cs="Times New Roman"/>
                <w:sz w:val="18"/>
                <w:szCs w:val="18"/>
                <w:lang w:eastAsia="zh-CN"/>
              </w:rPr>
              <w:t>校准品</w:t>
            </w:r>
            <w:r>
              <w:rPr>
                <w:rFonts w:hint="default" w:ascii="Times New Roman" w:hAnsi="Times New Roman" w:eastAsia="宋体" w:cs="Times New Roman"/>
                <w:sz w:val="18"/>
                <w:szCs w:val="18"/>
              </w:rPr>
              <w:t>S1（40000拷贝）</w:t>
            </w:r>
          </w:p>
        </w:tc>
        <w:tc>
          <w:tcPr>
            <w:tcW w:w="1810" w:type="dxa"/>
            <w:gridSpan w:val="2"/>
            <w:shd w:val="clear" w:color="auto" w:fill="auto"/>
            <w:vAlign w:val="bottom"/>
          </w:tcPr>
          <w:p w14:paraId="63AFCBF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25.265</w:t>
            </w:r>
          </w:p>
        </w:tc>
        <w:tc>
          <w:tcPr>
            <w:tcW w:w="1810" w:type="dxa"/>
            <w:gridSpan w:val="3"/>
            <w:shd w:val="clear" w:color="auto" w:fill="auto"/>
            <w:vAlign w:val="bottom"/>
          </w:tcPr>
          <w:p w14:paraId="0856E6C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25.315</w:t>
            </w:r>
          </w:p>
        </w:tc>
        <w:tc>
          <w:tcPr>
            <w:tcW w:w="1711" w:type="dxa"/>
            <w:gridSpan w:val="2"/>
            <w:shd w:val="clear" w:color="auto" w:fill="auto"/>
            <w:vAlign w:val="bottom"/>
          </w:tcPr>
          <w:p w14:paraId="45D95C78">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25.223</w:t>
            </w:r>
          </w:p>
        </w:tc>
      </w:tr>
      <w:tr w14:paraId="5754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shd w:val="clear" w:color="auto" w:fill="auto"/>
            <w:vAlign w:val="center"/>
          </w:tcPr>
          <w:p w14:paraId="604A9D80">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eastAsia="zh-CN"/>
              </w:rPr>
              <w:t>校准品</w:t>
            </w:r>
            <w:r>
              <w:rPr>
                <w:rFonts w:hint="default" w:ascii="Times New Roman" w:hAnsi="Times New Roman" w:eastAsia="宋体" w:cs="Times New Roman"/>
                <w:sz w:val="18"/>
                <w:szCs w:val="18"/>
              </w:rPr>
              <w:t>S2（</w:t>
            </w:r>
            <w:r>
              <w:rPr>
                <w:rFonts w:hint="default" w:ascii="Times New Roman" w:hAnsi="Times New Roman" w:eastAsia="宋体" w:cs="Times New Roman"/>
                <w:sz w:val="18"/>
                <w:szCs w:val="18"/>
                <w:lang w:val="en-US" w:eastAsia="zh-CN"/>
              </w:rPr>
              <w:t>6667</w:t>
            </w:r>
            <w:r>
              <w:rPr>
                <w:rFonts w:hint="default" w:ascii="Times New Roman" w:hAnsi="Times New Roman" w:eastAsia="宋体" w:cs="Times New Roman"/>
                <w:sz w:val="18"/>
                <w:szCs w:val="18"/>
              </w:rPr>
              <w:t>拷贝）</w:t>
            </w:r>
          </w:p>
        </w:tc>
        <w:tc>
          <w:tcPr>
            <w:tcW w:w="1810" w:type="dxa"/>
            <w:gridSpan w:val="2"/>
            <w:shd w:val="clear" w:color="auto" w:fill="auto"/>
            <w:vAlign w:val="bottom"/>
          </w:tcPr>
          <w:p w14:paraId="7F6867D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27.837</w:t>
            </w:r>
          </w:p>
        </w:tc>
        <w:tc>
          <w:tcPr>
            <w:tcW w:w="1810" w:type="dxa"/>
            <w:gridSpan w:val="3"/>
            <w:shd w:val="clear" w:color="auto" w:fill="auto"/>
            <w:vAlign w:val="bottom"/>
          </w:tcPr>
          <w:p w14:paraId="1960250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27.800</w:t>
            </w:r>
          </w:p>
        </w:tc>
        <w:tc>
          <w:tcPr>
            <w:tcW w:w="1711" w:type="dxa"/>
            <w:gridSpan w:val="2"/>
            <w:shd w:val="clear" w:color="auto" w:fill="auto"/>
            <w:vAlign w:val="bottom"/>
          </w:tcPr>
          <w:p w14:paraId="6EA7DAE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27.803</w:t>
            </w:r>
          </w:p>
        </w:tc>
      </w:tr>
      <w:tr w14:paraId="3B2B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shd w:val="clear" w:color="auto" w:fill="auto"/>
            <w:vAlign w:val="center"/>
          </w:tcPr>
          <w:p w14:paraId="22C21114">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eastAsia="zh-CN"/>
              </w:rPr>
              <w:t>校准品</w:t>
            </w:r>
            <w:r>
              <w:rPr>
                <w:rFonts w:hint="default" w:ascii="Times New Roman" w:hAnsi="Times New Roman" w:eastAsia="宋体" w:cs="Times New Roman"/>
                <w:sz w:val="18"/>
                <w:szCs w:val="18"/>
              </w:rPr>
              <w:t>S3（</w:t>
            </w:r>
            <w:r>
              <w:rPr>
                <w:rFonts w:hint="default" w:ascii="Times New Roman" w:hAnsi="Times New Roman" w:eastAsia="宋体" w:cs="Times New Roman"/>
                <w:sz w:val="18"/>
                <w:szCs w:val="18"/>
                <w:lang w:val="en-US" w:eastAsia="zh-CN"/>
              </w:rPr>
              <w:t>1111</w:t>
            </w:r>
            <w:r>
              <w:rPr>
                <w:rFonts w:hint="default" w:ascii="Times New Roman" w:hAnsi="Times New Roman" w:eastAsia="宋体" w:cs="Times New Roman"/>
                <w:sz w:val="18"/>
                <w:szCs w:val="18"/>
              </w:rPr>
              <w:t>拷贝）</w:t>
            </w:r>
          </w:p>
        </w:tc>
        <w:tc>
          <w:tcPr>
            <w:tcW w:w="1810" w:type="dxa"/>
            <w:gridSpan w:val="2"/>
            <w:shd w:val="clear" w:color="auto" w:fill="auto"/>
            <w:vAlign w:val="bottom"/>
          </w:tcPr>
          <w:p w14:paraId="3DC6630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30.386</w:t>
            </w:r>
          </w:p>
        </w:tc>
        <w:tc>
          <w:tcPr>
            <w:tcW w:w="1810" w:type="dxa"/>
            <w:gridSpan w:val="3"/>
            <w:shd w:val="clear" w:color="auto" w:fill="auto"/>
            <w:vAlign w:val="bottom"/>
          </w:tcPr>
          <w:p w14:paraId="5EC3E6B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30.285</w:t>
            </w:r>
          </w:p>
        </w:tc>
        <w:tc>
          <w:tcPr>
            <w:tcW w:w="1711" w:type="dxa"/>
            <w:gridSpan w:val="2"/>
            <w:shd w:val="clear" w:color="auto" w:fill="auto"/>
            <w:vAlign w:val="bottom"/>
          </w:tcPr>
          <w:p w14:paraId="09B6420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30.329</w:t>
            </w:r>
          </w:p>
        </w:tc>
      </w:tr>
      <w:tr w14:paraId="26D1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shd w:val="clear" w:color="auto" w:fill="auto"/>
            <w:vAlign w:val="center"/>
          </w:tcPr>
          <w:p w14:paraId="147105FF">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eastAsia="zh-CN"/>
              </w:rPr>
              <w:t>校准品</w:t>
            </w:r>
            <w:r>
              <w:rPr>
                <w:rFonts w:hint="default" w:ascii="Times New Roman" w:hAnsi="Times New Roman" w:eastAsia="宋体" w:cs="Times New Roman"/>
                <w:sz w:val="18"/>
                <w:szCs w:val="18"/>
              </w:rPr>
              <w:t>S4（</w:t>
            </w:r>
            <w:r>
              <w:rPr>
                <w:rFonts w:hint="default" w:ascii="Times New Roman" w:hAnsi="Times New Roman" w:eastAsia="宋体" w:cs="Times New Roman"/>
                <w:sz w:val="18"/>
                <w:szCs w:val="18"/>
                <w:lang w:val="en-US" w:eastAsia="zh-CN"/>
              </w:rPr>
              <w:t>185</w:t>
            </w:r>
            <w:r>
              <w:rPr>
                <w:rFonts w:hint="default" w:ascii="Times New Roman" w:hAnsi="Times New Roman" w:eastAsia="宋体" w:cs="Times New Roman"/>
                <w:sz w:val="18"/>
                <w:szCs w:val="18"/>
              </w:rPr>
              <w:t>拷贝）</w:t>
            </w:r>
          </w:p>
        </w:tc>
        <w:tc>
          <w:tcPr>
            <w:tcW w:w="1810" w:type="dxa"/>
            <w:gridSpan w:val="2"/>
            <w:shd w:val="clear" w:color="auto" w:fill="auto"/>
            <w:vAlign w:val="bottom"/>
          </w:tcPr>
          <w:p w14:paraId="363409D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33.340</w:t>
            </w:r>
          </w:p>
        </w:tc>
        <w:tc>
          <w:tcPr>
            <w:tcW w:w="1810" w:type="dxa"/>
            <w:gridSpan w:val="3"/>
            <w:shd w:val="clear" w:color="auto" w:fill="auto"/>
            <w:vAlign w:val="bottom"/>
          </w:tcPr>
          <w:p w14:paraId="22D653C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33.280</w:t>
            </w:r>
          </w:p>
        </w:tc>
        <w:tc>
          <w:tcPr>
            <w:tcW w:w="1711" w:type="dxa"/>
            <w:gridSpan w:val="2"/>
            <w:shd w:val="clear" w:color="auto" w:fill="auto"/>
            <w:vAlign w:val="bottom"/>
          </w:tcPr>
          <w:p w14:paraId="0BAEA90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33.261</w:t>
            </w:r>
          </w:p>
        </w:tc>
      </w:tr>
      <w:tr w14:paraId="34EA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shd w:val="clear" w:color="auto" w:fill="auto"/>
            <w:vAlign w:val="center"/>
          </w:tcPr>
          <w:p w14:paraId="2731C756">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eastAsia="zh-CN"/>
              </w:rPr>
              <w:t>校准品</w:t>
            </w:r>
            <w:r>
              <w:rPr>
                <w:rFonts w:hint="default" w:ascii="Times New Roman" w:hAnsi="Times New Roman" w:eastAsia="宋体" w:cs="Times New Roman"/>
                <w:sz w:val="18"/>
                <w:szCs w:val="18"/>
              </w:rPr>
              <w:t>S5（</w:t>
            </w:r>
            <w:r>
              <w:rPr>
                <w:rFonts w:hint="default" w:ascii="Times New Roman" w:hAnsi="Times New Roman" w:eastAsia="宋体" w:cs="Times New Roman"/>
                <w:sz w:val="18"/>
                <w:szCs w:val="18"/>
                <w:lang w:val="en-US" w:eastAsia="zh-CN"/>
              </w:rPr>
              <w:t>31</w:t>
            </w:r>
            <w:r>
              <w:rPr>
                <w:rFonts w:hint="default" w:ascii="Times New Roman" w:hAnsi="Times New Roman" w:eastAsia="宋体" w:cs="Times New Roman"/>
                <w:sz w:val="18"/>
                <w:szCs w:val="18"/>
              </w:rPr>
              <w:t>拷贝）</w:t>
            </w:r>
          </w:p>
        </w:tc>
        <w:tc>
          <w:tcPr>
            <w:tcW w:w="1810" w:type="dxa"/>
            <w:gridSpan w:val="2"/>
            <w:shd w:val="clear" w:color="auto" w:fill="auto"/>
            <w:vAlign w:val="bottom"/>
          </w:tcPr>
          <w:p w14:paraId="12508E18">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36.324</w:t>
            </w:r>
          </w:p>
        </w:tc>
        <w:tc>
          <w:tcPr>
            <w:tcW w:w="1810" w:type="dxa"/>
            <w:gridSpan w:val="3"/>
            <w:shd w:val="clear" w:color="auto" w:fill="auto"/>
            <w:vAlign w:val="bottom"/>
          </w:tcPr>
          <w:p w14:paraId="5EDF92E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37.084</w:t>
            </w:r>
          </w:p>
        </w:tc>
        <w:tc>
          <w:tcPr>
            <w:tcW w:w="1711" w:type="dxa"/>
            <w:gridSpan w:val="2"/>
            <w:shd w:val="clear" w:color="auto" w:fill="auto"/>
            <w:vAlign w:val="bottom"/>
          </w:tcPr>
          <w:p w14:paraId="221A548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35.749</w:t>
            </w:r>
          </w:p>
        </w:tc>
      </w:tr>
      <w:tr w14:paraId="4709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restart"/>
            <w:shd w:val="clear" w:color="auto" w:fill="auto"/>
            <w:vAlign w:val="center"/>
          </w:tcPr>
          <w:p w14:paraId="498608E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标准曲线</w:t>
            </w:r>
          </w:p>
        </w:tc>
        <w:tc>
          <w:tcPr>
            <w:tcW w:w="1187" w:type="pct"/>
            <w:shd w:val="clear" w:color="auto" w:fill="auto"/>
            <w:vAlign w:val="center"/>
          </w:tcPr>
          <w:p w14:paraId="4BC2EAE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公式</w:t>
            </w:r>
          </w:p>
        </w:tc>
        <w:tc>
          <w:tcPr>
            <w:tcW w:w="5331" w:type="dxa"/>
            <w:gridSpan w:val="7"/>
            <w:shd w:val="clear" w:color="auto" w:fill="auto"/>
            <w:vAlign w:val="center"/>
          </w:tcPr>
          <w:p w14:paraId="57DB4AE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y=-3.563x+41.473</w:t>
            </w:r>
          </w:p>
        </w:tc>
      </w:tr>
      <w:tr w14:paraId="3A3F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shd w:val="clear" w:color="auto" w:fill="auto"/>
            <w:vAlign w:val="center"/>
          </w:tcPr>
          <w:p w14:paraId="3CB42D3C">
            <w:pPr>
              <w:jc w:val="center"/>
              <w:rPr>
                <w:rFonts w:hint="default" w:ascii="Times New Roman" w:hAnsi="Times New Roman" w:eastAsia="宋体" w:cs="Times New Roman"/>
                <w:sz w:val="18"/>
                <w:szCs w:val="18"/>
              </w:rPr>
            </w:pPr>
          </w:p>
        </w:tc>
        <w:tc>
          <w:tcPr>
            <w:tcW w:w="1187" w:type="pct"/>
            <w:shd w:val="clear" w:color="auto" w:fill="auto"/>
            <w:vAlign w:val="center"/>
          </w:tcPr>
          <w:p w14:paraId="76DEE9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R</w:t>
            </w:r>
            <w:r>
              <w:rPr>
                <w:rFonts w:hint="default" w:ascii="Times New Roman" w:hAnsi="Times New Roman" w:eastAsia="宋体" w:cs="Times New Roman"/>
                <w:sz w:val="18"/>
                <w:szCs w:val="18"/>
                <w:vertAlign w:val="superscript"/>
              </w:rPr>
              <w:t>2</w:t>
            </w:r>
          </w:p>
        </w:tc>
        <w:tc>
          <w:tcPr>
            <w:tcW w:w="5331" w:type="dxa"/>
            <w:gridSpan w:val="7"/>
            <w:shd w:val="clear" w:color="auto" w:fill="auto"/>
            <w:vAlign w:val="center"/>
          </w:tcPr>
          <w:p w14:paraId="4475EA6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0.994</w:t>
            </w:r>
          </w:p>
        </w:tc>
      </w:tr>
      <w:tr w14:paraId="6079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shd w:val="clear" w:color="auto" w:fill="auto"/>
            <w:vAlign w:val="center"/>
          </w:tcPr>
          <w:p w14:paraId="0AFC0CE6">
            <w:pPr>
              <w:jc w:val="center"/>
              <w:rPr>
                <w:rFonts w:hint="default" w:ascii="Times New Roman" w:hAnsi="Times New Roman" w:eastAsia="宋体" w:cs="Times New Roman"/>
                <w:sz w:val="18"/>
                <w:szCs w:val="18"/>
              </w:rPr>
            </w:pPr>
          </w:p>
        </w:tc>
        <w:tc>
          <w:tcPr>
            <w:tcW w:w="1187" w:type="pct"/>
            <w:shd w:val="clear" w:color="auto" w:fill="auto"/>
            <w:vAlign w:val="center"/>
          </w:tcPr>
          <w:p w14:paraId="5A26E53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扩增效率（E）</w:t>
            </w:r>
          </w:p>
        </w:tc>
        <w:tc>
          <w:tcPr>
            <w:tcW w:w="5331" w:type="dxa"/>
            <w:gridSpan w:val="7"/>
            <w:shd w:val="clear" w:color="auto" w:fill="auto"/>
            <w:vAlign w:val="center"/>
          </w:tcPr>
          <w:p w14:paraId="519631F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90.827%</w:t>
            </w:r>
          </w:p>
        </w:tc>
      </w:tr>
      <w:tr w14:paraId="1001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restart"/>
            <w:shd w:val="clear" w:color="auto" w:fill="auto"/>
            <w:vAlign w:val="center"/>
          </w:tcPr>
          <w:p w14:paraId="12FCB4A2">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（100拷贝）</w:t>
            </w:r>
          </w:p>
        </w:tc>
        <w:tc>
          <w:tcPr>
            <w:tcW w:w="1069" w:type="dxa"/>
            <w:shd w:val="clear" w:color="auto" w:fill="auto"/>
            <w:vAlign w:val="bottom"/>
          </w:tcPr>
          <w:p w14:paraId="6C2DEF1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111.450</w:t>
            </w:r>
          </w:p>
        </w:tc>
        <w:tc>
          <w:tcPr>
            <w:tcW w:w="1063" w:type="dxa"/>
            <w:gridSpan w:val="2"/>
            <w:shd w:val="clear" w:color="auto" w:fill="auto"/>
            <w:vAlign w:val="bottom"/>
          </w:tcPr>
          <w:p w14:paraId="2070CC3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107.515</w:t>
            </w:r>
          </w:p>
        </w:tc>
        <w:tc>
          <w:tcPr>
            <w:tcW w:w="1066" w:type="dxa"/>
            <w:shd w:val="clear" w:color="auto" w:fill="auto"/>
            <w:vAlign w:val="bottom"/>
          </w:tcPr>
          <w:p w14:paraId="3040EF0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98.210</w:t>
            </w:r>
          </w:p>
        </w:tc>
        <w:tc>
          <w:tcPr>
            <w:tcW w:w="1066" w:type="dxa"/>
            <w:gridSpan w:val="2"/>
            <w:shd w:val="clear" w:color="auto" w:fill="auto"/>
            <w:vAlign w:val="bottom"/>
          </w:tcPr>
          <w:p w14:paraId="5BE145C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99.805</w:t>
            </w:r>
          </w:p>
        </w:tc>
        <w:tc>
          <w:tcPr>
            <w:tcW w:w="1067" w:type="dxa"/>
            <w:shd w:val="clear" w:color="auto" w:fill="auto"/>
            <w:vAlign w:val="bottom"/>
          </w:tcPr>
          <w:p w14:paraId="0DE51BE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114.235</w:t>
            </w:r>
          </w:p>
        </w:tc>
      </w:tr>
      <w:tr w14:paraId="3D98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continue"/>
            <w:shd w:val="clear" w:color="auto" w:fill="auto"/>
            <w:vAlign w:val="center"/>
          </w:tcPr>
          <w:p w14:paraId="69F12FE8">
            <w:pPr>
              <w:jc w:val="center"/>
              <w:rPr>
                <w:rFonts w:hint="default" w:ascii="Times New Roman" w:hAnsi="Times New Roman" w:eastAsia="宋体" w:cs="Times New Roman"/>
                <w:sz w:val="18"/>
                <w:szCs w:val="18"/>
              </w:rPr>
            </w:pPr>
          </w:p>
        </w:tc>
        <w:tc>
          <w:tcPr>
            <w:tcW w:w="1069" w:type="dxa"/>
            <w:shd w:val="clear" w:color="auto" w:fill="auto"/>
            <w:vAlign w:val="bottom"/>
          </w:tcPr>
          <w:p w14:paraId="5D97F883">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95.423</w:t>
            </w:r>
          </w:p>
        </w:tc>
        <w:tc>
          <w:tcPr>
            <w:tcW w:w="1063" w:type="dxa"/>
            <w:gridSpan w:val="2"/>
            <w:shd w:val="clear" w:color="auto" w:fill="auto"/>
            <w:vAlign w:val="bottom"/>
          </w:tcPr>
          <w:p w14:paraId="0C4C5B1B">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113.172</w:t>
            </w:r>
          </w:p>
        </w:tc>
        <w:tc>
          <w:tcPr>
            <w:tcW w:w="1066" w:type="dxa"/>
            <w:shd w:val="clear" w:color="auto" w:fill="auto"/>
            <w:vAlign w:val="bottom"/>
          </w:tcPr>
          <w:p w14:paraId="065DC54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105.330</w:t>
            </w:r>
          </w:p>
        </w:tc>
        <w:tc>
          <w:tcPr>
            <w:tcW w:w="1066" w:type="dxa"/>
            <w:gridSpan w:val="2"/>
            <w:shd w:val="clear" w:color="auto" w:fill="auto"/>
            <w:vAlign w:val="bottom"/>
          </w:tcPr>
          <w:p w14:paraId="112EA2F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98.503</w:t>
            </w:r>
          </w:p>
        </w:tc>
        <w:tc>
          <w:tcPr>
            <w:tcW w:w="1067" w:type="dxa"/>
            <w:shd w:val="clear" w:color="auto" w:fill="auto"/>
            <w:vAlign w:val="bottom"/>
          </w:tcPr>
          <w:p w14:paraId="5C57C51B">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113.335</w:t>
            </w:r>
          </w:p>
        </w:tc>
      </w:tr>
      <w:tr w14:paraId="6838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restart"/>
            <w:shd w:val="clear" w:color="auto" w:fill="auto"/>
            <w:vAlign w:val="center"/>
          </w:tcPr>
          <w:p w14:paraId="367EE5A7">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（40拷贝）</w:t>
            </w:r>
          </w:p>
        </w:tc>
        <w:tc>
          <w:tcPr>
            <w:tcW w:w="1069" w:type="dxa"/>
            <w:shd w:val="clear" w:color="auto" w:fill="auto"/>
            <w:vAlign w:val="bottom"/>
          </w:tcPr>
          <w:p w14:paraId="1C12D3E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29.809</w:t>
            </w:r>
          </w:p>
        </w:tc>
        <w:tc>
          <w:tcPr>
            <w:tcW w:w="1063" w:type="dxa"/>
            <w:gridSpan w:val="2"/>
            <w:shd w:val="clear" w:color="auto" w:fill="auto"/>
            <w:vAlign w:val="bottom"/>
          </w:tcPr>
          <w:p w14:paraId="73399E58">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32.871</w:t>
            </w:r>
          </w:p>
        </w:tc>
        <w:tc>
          <w:tcPr>
            <w:tcW w:w="1066" w:type="dxa"/>
            <w:shd w:val="clear" w:color="auto" w:fill="auto"/>
            <w:vAlign w:val="bottom"/>
          </w:tcPr>
          <w:p w14:paraId="6D441AF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46.867</w:t>
            </w:r>
          </w:p>
        </w:tc>
        <w:tc>
          <w:tcPr>
            <w:tcW w:w="1066" w:type="dxa"/>
            <w:gridSpan w:val="2"/>
            <w:shd w:val="clear" w:color="auto" w:fill="auto"/>
            <w:vAlign w:val="bottom"/>
          </w:tcPr>
          <w:p w14:paraId="73BB0BE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44.643</w:t>
            </w:r>
          </w:p>
        </w:tc>
        <w:tc>
          <w:tcPr>
            <w:tcW w:w="1067" w:type="dxa"/>
            <w:shd w:val="clear" w:color="auto" w:fill="auto"/>
            <w:vAlign w:val="bottom"/>
          </w:tcPr>
          <w:p w14:paraId="3E3D8B4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32.372</w:t>
            </w:r>
          </w:p>
        </w:tc>
      </w:tr>
      <w:tr w14:paraId="5C63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continue"/>
            <w:shd w:val="clear" w:color="auto" w:fill="auto"/>
            <w:vAlign w:val="center"/>
          </w:tcPr>
          <w:p w14:paraId="4F82BE3E">
            <w:pPr>
              <w:jc w:val="center"/>
              <w:rPr>
                <w:rFonts w:hint="default" w:ascii="Times New Roman" w:hAnsi="Times New Roman" w:eastAsia="宋体" w:cs="Times New Roman"/>
                <w:sz w:val="18"/>
                <w:szCs w:val="18"/>
              </w:rPr>
            </w:pPr>
          </w:p>
        </w:tc>
        <w:tc>
          <w:tcPr>
            <w:tcW w:w="1069" w:type="dxa"/>
            <w:shd w:val="clear" w:color="auto" w:fill="auto"/>
            <w:vAlign w:val="bottom"/>
          </w:tcPr>
          <w:p w14:paraId="114013D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45.642</w:t>
            </w:r>
          </w:p>
        </w:tc>
        <w:tc>
          <w:tcPr>
            <w:tcW w:w="1063" w:type="dxa"/>
            <w:gridSpan w:val="2"/>
            <w:shd w:val="clear" w:color="auto" w:fill="auto"/>
            <w:vAlign w:val="bottom"/>
          </w:tcPr>
          <w:p w14:paraId="7A984B7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47.762</w:t>
            </w:r>
          </w:p>
        </w:tc>
        <w:tc>
          <w:tcPr>
            <w:tcW w:w="1066" w:type="dxa"/>
            <w:shd w:val="clear" w:color="auto" w:fill="auto"/>
            <w:vAlign w:val="bottom"/>
          </w:tcPr>
          <w:p w14:paraId="32411C4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30.779</w:t>
            </w:r>
          </w:p>
        </w:tc>
        <w:tc>
          <w:tcPr>
            <w:tcW w:w="1066" w:type="dxa"/>
            <w:gridSpan w:val="2"/>
            <w:shd w:val="clear" w:color="auto" w:fill="auto"/>
            <w:vAlign w:val="bottom"/>
          </w:tcPr>
          <w:p w14:paraId="44AE59C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33.576</w:t>
            </w:r>
          </w:p>
        </w:tc>
        <w:tc>
          <w:tcPr>
            <w:tcW w:w="1067" w:type="dxa"/>
            <w:shd w:val="clear" w:color="auto" w:fill="auto"/>
            <w:vAlign w:val="bottom"/>
          </w:tcPr>
          <w:p w14:paraId="0F1F355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28.369</w:t>
            </w:r>
          </w:p>
        </w:tc>
      </w:tr>
      <w:tr w14:paraId="603A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restart"/>
            <w:shd w:val="clear" w:color="auto" w:fill="auto"/>
            <w:vAlign w:val="center"/>
          </w:tcPr>
          <w:p w14:paraId="0699FE86">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（20拷贝）</w:t>
            </w:r>
          </w:p>
        </w:tc>
        <w:tc>
          <w:tcPr>
            <w:tcW w:w="1069" w:type="dxa"/>
            <w:shd w:val="clear" w:color="auto" w:fill="auto"/>
            <w:vAlign w:val="bottom"/>
          </w:tcPr>
          <w:p w14:paraId="0933489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21.481</w:t>
            </w:r>
          </w:p>
        </w:tc>
        <w:tc>
          <w:tcPr>
            <w:tcW w:w="1063" w:type="dxa"/>
            <w:gridSpan w:val="2"/>
            <w:shd w:val="clear" w:color="auto" w:fill="auto"/>
            <w:vAlign w:val="bottom"/>
          </w:tcPr>
          <w:p w14:paraId="4A6161A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18.329</w:t>
            </w:r>
          </w:p>
        </w:tc>
        <w:tc>
          <w:tcPr>
            <w:tcW w:w="1066" w:type="dxa"/>
            <w:shd w:val="clear" w:color="auto" w:fill="auto"/>
            <w:vAlign w:val="bottom"/>
          </w:tcPr>
          <w:p w14:paraId="5095FD1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22.363</w:t>
            </w:r>
          </w:p>
        </w:tc>
        <w:tc>
          <w:tcPr>
            <w:tcW w:w="1066" w:type="dxa"/>
            <w:gridSpan w:val="2"/>
            <w:shd w:val="clear" w:color="auto" w:fill="auto"/>
            <w:vAlign w:val="bottom"/>
          </w:tcPr>
          <w:p w14:paraId="5547AE2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26.809</w:t>
            </w:r>
          </w:p>
        </w:tc>
        <w:tc>
          <w:tcPr>
            <w:tcW w:w="1067" w:type="dxa"/>
            <w:shd w:val="clear" w:color="auto" w:fill="auto"/>
            <w:vAlign w:val="bottom"/>
          </w:tcPr>
          <w:p w14:paraId="15E8DCD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15.051</w:t>
            </w:r>
          </w:p>
        </w:tc>
      </w:tr>
      <w:tr w14:paraId="3998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continue"/>
            <w:shd w:val="clear" w:color="auto" w:fill="auto"/>
            <w:vAlign w:val="center"/>
          </w:tcPr>
          <w:p w14:paraId="40595807">
            <w:pPr>
              <w:jc w:val="center"/>
              <w:rPr>
                <w:rFonts w:hint="default" w:ascii="Times New Roman" w:hAnsi="Times New Roman" w:eastAsia="宋体" w:cs="Times New Roman"/>
                <w:sz w:val="18"/>
                <w:szCs w:val="18"/>
              </w:rPr>
            </w:pPr>
          </w:p>
        </w:tc>
        <w:tc>
          <w:tcPr>
            <w:tcW w:w="1069" w:type="dxa"/>
            <w:shd w:val="clear" w:color="auto" w:fill="auto"/>
            <w:vAlign w:val="bottom"/>
          </w:tcPr>
          <w:p w14:paraId="5E50B9B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27.082</w:t>
            </w:r>
          </w:p>
        </w:tc>
        <w:tc>
          <w:tcPr>
            <w:tcW w:w="1063" w:type="dxa"/>
            <w:gridSpan w:val="2"/>
            <w:shd w:val="clear" w:color="auto" w:fill="auto"/>
            <w:vAlign w:val="bottom"/>
          </w:tcPr>
          <w:p w14:paraId="1EDEF58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25.142</w:t>
            </w:r>
          </w:p>
        </w:tc>
        <w:tc>
          <w:tcPr>
            <w:tcW w:w="1066" w:type="dxa"/>
            <w:shd w:val="clear" w:color="auto" w:fill="auto"/>
            <w:vAlign w:val="bottom"/>
          </w:tcPr>
          <w:p w14:paraId="4B110F9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16.433</w:t>
            </w:r>
          </w:p>
        </w:tc>
        <w:tc>
          <w:tcPr>
            <w:tcW w:w="1066" w:type="dxa"/>
            <w:gridSpan w:val="2"/>
            <w:shd w:val="clear" w:color="auto" w:fill="auto"/>
            <w:vAlign w:val="bottom"/>
          </w:tcPr>
          <w:p w14:paraId="427E2D6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16.060</w:t>
            </w:r>
          </w:p>
        </w:tc>
        <w:tc>
          <w:tcPr>
            <w:tcW w:w="1067" w:type="dxa"/>
            <w:shd w:val="clear" w:color="auto" w:fill="auto"/>
            <w:vAlign w:val="bottom"/>
          </w:tcPr>
          <w:p w14:paraId="6AD836D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19.708</w:t>
            </w:r>
          </w:p>
        </w:tc>
      </w:tr>
      <w:tr w14:paraId="03C4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restart"/>
            <w:shd w:val="clear" w:color="auto" w:fill="auto"/>
            <w:vAlign w:val="center"/>
          </w:tcPr>
          <w:p w14:paraId="0E92CCB0">
            <w:pPr>
              <w:jc w:val="center"/>
              <w:rPr>
                <w:rFonts w:hint="default" w:ascii="Times New Roman" w:hAnsi="Times New Roman" w:eastAsia="宋体" w:cs="Times New Roman"/>
                <w:sz w:val="18"/>
                <w:szCs w:val="18"/>
              </w:rPr>
            </w:pPr>
            <w:r>
              <w:rPr>
                <w:rFonts w:hint="eastAsia" w:cs="Times New Roman"/>
                <w:sz w:val="18"/>
                <w:szCs w:val="18"/>
                <w:lang w:eastAsia="zh-CN"/>
              </w:rPr>
              <w:t>QY2569-42</w:t>
            </w:r>
            <w:r>
              <w:rPr>
                <w:rFonts w:hint="default" w:ascii="Times New Roman" w:hAnsi="Times New Roman" w:eastAsia="宋体" w:cs="Times New Roman"/>
                <w:sz w:val="18"/>
                <w:szCs w:val="18"/>
              </w:rPr>
              <w:t>（10拷贝）</w:t>
            </w:r>
          </w:p>
        </w:tc>
        <w:tc>
          <w:tcPr>
            <w:tcW w:w="1069" w:type="dxa"/>
            <w:shd w:val="clear" w:color="auto" w:fill="auto"/>
            <w:vAlign w:val="bottom"/>
          </w:tcPr>
          <w:p w14:paraId="449AB4A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13.443</w:t>
            </w:r>
          </w:p>
        </w:tc>
        <w:tc>
          <w:tcPr>
            <w:tcW w:w="1063" w:type="dxa"/>
            <w:gridSpan w:val="2"/>
            <w:shd w:val="clear" w:color="auto" w:fill="auto"/>
            <w:vAlign w:val="bottom"/>
          </w:tcPr>
          <w:p w14:paraId="1825623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13.567</w:t>
            </w:r>
          </w:p>
        </w:tc>
        <w:tc>
          <w:tcPr>
            <w:tcW w:w="1066" w:type="dxa"/>
            <w:shd w:val="clear" w:color="auto" w:fill="auto"/>
            <w:vAlign w:val="bottom"/>
          </w:tcPr>
          <w:p w14:paraId="64B432D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14.019</w:t>
            </w:r>
          </w:p>
        </w:tc>
        <w:tc>
          <w:tcPr>
            <w:tcW w:w="1066" w:type="dxa"/>
            <w:gridSpan w:val="2"/>
            <w:shd w:val="clear" w:color="auto" w:fill="auto"/>
            <w:vAlign w:val="bottom"/>
          </w:tcPr>
          <w:p w14:paraId="6B2BB3E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11.835</w:t>
            </w:r>
          </w:p>
        </w:tc>
        <w:tc>
          <w:tcPr>
            <w:tcW w:w="1067" w:type="dxa"/>
            <w:shd w:val="clear" w:color="auto" w:fill="auto"/>
            <w:vAlign w:val="bottom"/>
          </w:tcPr>
          <w:p w14:paraId="2B8EE4D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15.879</w:t>
            </w:r>
          </w:p>
        </w:tc>
      </w:tr>
      <w:tr w14:paraId="500B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pct"/>
            <w:gridSpan w:val="2"/>
            <w:vMerge w:val="continue"/>
            <w:shd w:val="clear" w:color="auto" w:fill="auto"/>
            <w:vAlign w:val="center"/>
          </w:tcPr>
          <w:p w14:paraId="33E73A6B">
            <w:pPr>
              <w:jc w:val="center"/>
              <w:rPr>
                <w:rFonts w:hint="default" w:ascii="Times New Roman" w:hAnsi="Times New Roman" w:eastAsia="宋体" w:cs="Times New Roman"/>
                <w:sz w:val="18"/>
                <w:szCs w:val="18"/>
              </w:rPr>
            </w:pPr>
          </w:p>
        </w:tc>
        <w:tc>
          <w:tcPr>
            <w:tcW w:w="1069" w:type="dxa"/>
            <w:shd w:val="clear" w:color="auto" w:fill="auto"/>
            <w:vAlign w:val="bottom"/>
          </w:tcPr>
          <w:p w14:paraId="7E54208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10.309</w:t>
            </w:r>
          </w:p>
        </w:tc>
        <w:tc>
          <w:tcPr>
            <w:tcW w:w="1063" w:type="dxa"/>
            <w:gridSpan w:val="2"/>
            <w:shd w:val="clear" w:color="auto" w:fill="auto"/>
            <w:vAlign w:val="bottom"/>
          </w:tcPr>
          <w:p w14:paraId="24B0B5F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11.911</w:t>
            </w:r>
          </w:p>
        </w:tc>
        <w:tc>
          <w:tcPr>
            <w:tcW w:w="1066" w:type="dxa"/>
            <w:shd w:val="clear" w:color="auto" w:fill="auto"/>
            <w:vAlign w:val="bottom"/>
          </w:tcPr>
          <w:p w14:paraId="1644E4FB">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15.630</w:t>
            </w:r>
          </w:p>
        </w:tc>
        <w:tc>
          <w:tcPr>
            <w:tcW w:w="1066" w:type="dxa"/>
            <w:gridSpan w:val="2"/>
            <w:shd w:val="clear" w:color="auto" w:fill="auto"/>
            <w:vAlign w:val="bottom"/>
          </w:tcPr>
          <w:p w14:paraId="255234E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9.402</w:t>
            </w:r>
          </w:p>
        </w:tc>
        <w:tc>
          <w:tcPr>
            <w:tcW w:w="1067" w:type="dxa"/>
            <w:shd w:val="clear" w:color="auto" w:fill="auto"/>
            <w:vAlign w:val="bottom"/>
          </w:tcPr>
          <w:p w14:paraId="3EB5362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auto"/>
                <w:sz w:val="18"/>
                <w:szCs w:val="18"/>
                <w:highlight w:val="none"/>
              </w:rPr>
              <w:t>7.133</w:t>
            </w:r>
          </w:p>
        </w:tc>
      </w:tr>
    </w:tbl>
    <w:p w14:paraId="183D9CC5">
      <w:pPr>
        <w:rPr>
          <w:rFonts w:eastAsia="仿宋"/>
          <w:sz w:val="32"/>
          <w:szCs w:val="32"/>
        </w:rPr>
      </w:pPr>
    </w:p>
    <w:p w14:paraId="33F96A52">
      <w:pPr>
        <w:jc w:val="center"/>
        <w:rPr>
          <w:rFonts w:eastAsia="仿宋"/>
          <w:b/>
          <w:bCs/>
          <w:sz w:val="24"/>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2-18</w:t>
      </w:r>
      <w:r>
        <w:rPr>
          <w:rFonts w:ascii="Times New Roman" w:hAnsi="Times New Roman" w:eastAsia="黑体" w:cs="Calibri"/>
          <w:kern w:val="2"/>
          <w:sz w:val="18"/>
          <w:szCs w:val="22"/>
          <w:lang w:val="en-US" w:eastAsia="zh-CN" w:bidi="ar-SA"/>
        </w:rPr>
        <w:t xml:space="preserve"> 定量限初步测试结果精密度和正确度分析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560"/>
        <w:gridCol w:w="1281"/>
        <w:gridCol w:w="1421"/>
      </w:tblGrid>
      <w:tr w14:paraId="6E4A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702C5FD9">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模板拷贝数</w:t>
            </w:r>
          </w:p>
        </w:tc>
        <w:tc>
          <w:tcPr>
            <w:tcW w:w="1420" w:type="dxa"/>
            <w:vAlign w:val="center"/>
          </w:tcPr>
          <w:p w14:paraId="47EC2342">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阳性反应率</w:t>
            </w:r>
          </w:p>
        </w:tc>
        <w:tc>
          <w:tcPr>
            <w:tcW w:w="1420" w:type="dxa"/>
            <w:vAlign w:val="center"/>
          </w:tcPr>
          <w:p w14:paraId="7A6F5932">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平均测量值</w:t>
            </w:r>
          </w:p>
        </w:tc>
        <w:tc>
          <w:tcPr>
            <w:tcW w:w="1560" w:type="dxa"/>
            <w:vAlign w:val="center"/>
          </w:tcPr>
          <w:p w14:paraId="07A8D49A">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相对偏倚（%）</w:t>
            </w:r>
          </w:p>
        </w:tc>
        <w:tc>
          <w:tcPr>
            <w:tcW w:w="1281" w:type="dxa"/>
            <w:vAlign w:val="center"/>
          </w:tcPr>
          <w:p w14:paraId="4E9E298D">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标准差SD</w:t>
            </w:r>
          </w:p>
        </w:tc>
        <w:tc>
          <w:tcPr>
            <w:tcW w:w="1421" w:type="dxa"/>
            <w:vAlign w:val="center"/>
          </w:tcPr>
          <w:p w14:paraId="56385716">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相对标准差RSDr（%）</w:t>
            </w:r>
          </w:p>
        </w:tc>
      </w:tr>
      <w:tr w14:paraId="3B8C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3BD78CC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1420" w:type="dxa"/>
            <w:vAlign w:val="center"/>
          </w:tcPr>
          <w:p w14:paraId="211E0D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10/10</w:t>
            </w:r>
          </w:p>
        </w:tc>
        <w:tc>
          <w:tcPr>
            <w:tcW w:w="1420" w:type="dxa"/>
            <w:shd w:val="clear" w:color="auto" w:fill="auto"/>
            <w:vAlign w:val="bottom"/>
          </w:tcPr>
          <w:p w14:paraId="3ABE0E9F">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105.7</w:t>
            </w:r>
          </w:p>
        </w:tc>
        <w:tc>
          <w:tcPr>
            <w:tcW w:w="1560" w:type="dxa"/>
            <w:shd w:val="clear" w:color="auto" w:fill="auto"/>
            <w:vAlign w:val="bottom"/>
          </w:tcPr>
          <w:p w14:paraId="39F7AE67">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color w:val="auto"/>
                <w:sz w:val="18"/>
                <w:szCs w:val="18"/>
                <w:highlight w:val="none"/>
                <w:lang w:val="en-US" w:eastAsia="zh-CN"/>
              </w:rPr>
              <w:t>5.70</w:t>
            </w:r>
          </w:p>
        </w:tc>
        <w:tc>
          <w:tcPr>
            <w:tcW w:w="1281" w:type="dxa"/>
            <w:shd w:val="clear" w:color="auto" w:fill="auto"/>
            <w:vAlign w:val="bottom"/>
          </w:tcPr>
          <w:p w14:paraId="392A5E02">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7.24</w:t>
            </w:r>
          </w:p>
        </w:tc>
        <w:tc>
          <w:tcPr>
            <w:tcW w:w="1421" w:type="dxa"/>
            <w:shd w:val="clear" w:color="auto" w:fill="auto"/>
            <w:vAlign w:val="bottom"/>
          </w:tcPr>
          <w:p w14:paraId="652DE240">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6.85</w:t>
            </w:r>
          </w:p>
        </w:tc>
      </w:tr>
      <w:tr w14:paraId="357A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28276F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c>
          <w:tcPr>
            <w:tcW w:w="1420" w:type="dxa"/>
            <w:vAlign w:val="center"/>
          </w:tcPr>
          <w:p w14:paraId="72DD73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10/10</w:t>
            </w:r>
          </w:p>
        </w:tc>
        <w:tc>
          <w:tcPr>
            <w:tcW w:w="1420" w:type="dxa"/>
            <w:shd w:val="clear" w:color="auto" w:fill="auto"/>
            <w:vAlign w:val="bottom"/>
          </w:tcPr>
          <w:p w14:paraId="63FADE78">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37.27</w:t>
            </w:r>
          </w:p>
        </w:tc>
        <w:tc>
          <w:tcPr>
            <w:tcW w:w="1560" w:type="dxa"/>
            <w:shd w:val="clear" w:color="auto" w:fill="auto"/>
            <w:vAlign w:val="bottom"/>
          </w:tcPr>
          <w:p w14:paraId="4C3AF3F0">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color w:val="auto"/>
                <w:sz w:val="18"/>
                <w:szCs w:val="18"/>
                <w:highlight w:val="none"/>
                <w:lang w:val="en-US" w:eastAsia="zh-CN"/>
              </w:rPr>
              <w:t>-6.83</w:t>
            </w:r>
          </w:p>
        </w:tc>
        <w:tc>
          <w:tcPr>
            <w:tcW w:w="1281" w:type="dxa"/>
            <w:shd w:val="clear" w:color="auto" w:fill="auto"/>
            <w:vAlign w:val="bottom"/>
          </w:tcPr>
          <w:p w14:paraId="16BF527B">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7.89</w:t>
            </w:r>
          </w:p>
        </w:tc>
        <w:tc>
          <w:tcPr>
            <w:tcW w:w="1421" w:type="dxa"/>
            <w:shd w:val="clear" w:color="auto" w:fill="auto"/>
            <w:vAlign w:val="bottom"/>
          </w:tcPr>
          <w:p w14:paraId="6D7CE097">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21.18</w:t>
            </w:r>
          </w:p>
        </w:tc>
      </w:tr>
      <w:tr w14:paraId="0ADB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34B97CE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1420" w:type="dxa"/>
            <w:vAlign w:val="center"/>
          </w:tcPr>
          <w:p w14:paraId="33B3BB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10/10</w:t>
            </w:r>
          </w:p>
        </w:tc>
        <w:tc>
          <w:tcPr>
            <w:tcW w:w="1420" w:type="dxa"/>
            <w:shd w:val="clear" w:color="auto" w:fill="auto"/>
            <w:vAlign w:val="bottom"/>
          </w:tcPr>
          <w:p w14:paraId="6F47284A">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20.85</w:t>
            </w:r>
          </w:p>
        </w:tc>
        <w:tc>
          <w:tcPr>
            <w:tcW w:w="1560" w:type="dxa"/>
            <w:shd w:val="clear" w:color="auto" w:fill="auto"/>
            <w:vAlign w:val="bottom"/>
          </w:tcPr>
          <w:p w14:paraId="3620BF03">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color w:val="auto"/>
                <w:sz w:val="18"/>
                <w:szCs w:val="18"/>
                <w:highlight w:val="none"/>
                <w:lang w:val="en-US" w:eastAsia="zh-CN"/>
              </w:rPr>
              <w:t>4.25</w:t>
            </w:r>
          </w:p>
        </w:tc>
        <w:tc>
          <w:tcPr>
            <w:tcW w:w="1281" w:type="dxa"/>
            <w:shd w:val="clear" w:color="auto" w:fill="auto"/>
            <w:vAlign w:val="bottom"/>
          </w:tcPr>
          <w:p w14:paraId="20D7C748">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4.46</w:t>
            </w:r>
          </w:p>
        </w:tc>
        <w:tc>
          <w:tcPr>
            <w:tcW w:w="1421" w:type="dxa"/>
            <w:shd w:val="clear" w:color="auto" w:fill="auto"/>
            <w:vAlign w:val="bottom"/>
          </w:tcPr>
          <w:p w14:paraId="1A4880C8">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21.41</w:t>
            </w:r>
          </w:p>
        </w:tc>
      </w:tr>
      <w:tr w14:paraId="2797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6A7DB01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1420" w:type="dxa"/>
            <w:vAlign w:val="center"/>
          </w:tcPr>
          <w:p w14:paraId="50C792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10/10</w:t>
            </w:r>
          </w:p>
        </w:tc>
        <w:tc>
          <w:tcPr>
            <w:tcW w:w="1420" w:type="dxa"/>
            <w:shd w:val="clear" w:color="auto" w:fill="auto"/>
            <w:vAlign w:val="bottom"/>
          </w:tcPr>
          <w:p w14:paraId="5967F2D0">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12.31</w:t>
            </w:r>
          </w:p>
        </w:tc>
        <w:tc>
          <w:tcPr>
            <w:tcW w:w="1560" w:type="dxa"/>
            <w:shd w:val="clear" w:color="auto" w:fill="auto"/>
            <w:vAlign w:val="bottom"/>
          </w:tcPr>
          <w:p w14:paraId="5B7EFCD3">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color w:val="auto"/>
                <w:sz w:val="18"/>
                <w:szCs w:val="18"/>
                <w:highlight w:val="none"/>
                <w:lang w:val="en-US" w:eastAsia="zh-CN"/>
              </w:rPr>
              <w:t>23.10</w:t>
            </w:r>
          </w:p>
        </w:tc>
        <w:tc>
          <w:tcPr>
            <w:tcW w:w="1281" w:type="dxa"/>
            <w:shd w:val="clear" w:color="auto" w:fill="auto"/>
            <w:vAlign w:val="bottom"/>
          </w:tcPr>
          <w:p w14:paraId="6CCE587D">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2.77</w:t>
            </w:r>
          </w:p>
        </w:tc>
        <w:tc>
          <w:tcPr>
            <w:tcW w:w="1421" w:type="dxa"/>
            <w:shd w:val="clear" w:color="auto" w:fill="auto"/>
            <w:vAlign w:val="bottom"/>
          </w:tcPr>
          <w:p w14:paraId="0C53D8F6">
            <w:pPr>
              <w:pStyle w:val="15"/>
              <w:keepNext w:val="0"/>
              <w:keepLines w:val="0"/>
              <w:widowControl/>
              <w:suppressLineNumbers w:val="0"/>
              <w:kinsoku/>
              <w:wordWrap/>
              <w:overflowPun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color w:val="auto"/>
                <w:sz w:val="18"/>
                <w:szCs w:val="18"/>
                <w:highlight w:val="none"/>
              </w:rPr>
              <w:t>22.52</w:t>
            </w:r>
          </w:p>
        </w:tc>
      </w:tr>
    </w:tbl>
    <w:p w14:paraId="3F1F5C46">
      <w:pPr>
        <w:rPr>
          <w:rFonts w:eastAsia="仿宋"/>
        </w:rPr>
      </w:pPr>
    </w:p>
    <w:p w14:paraId="4790F7F6">
      <w:pPr>
        <w:rPr>
          <w:rFonts w:eastAsia="仿宋"/>
        </w:rPr>
      </w:pPr>
      <w:r>
        <w:rPr>
          <w:color w:val="auto"/>
          <w:highlight w:val="none"/>
        </w:rPr>
        <w:drawing>
          <wp:inline distT="0" distB="0" distL="114300" distR="114300">
            <wp:extent cx="5349875" cy="3599815"/>
            <wp:effectExtent l="0" t="0" r="3175" b="635"/>
            <wp:docPr id="12" name="图片 19"/>
            <wp:cNvGraphicFramePr/>
            <a:graphic xmlns:a="http://schemas.openxmlformats.org/drawingml/2006/main">
              <a:graphicData uri="http://schemas.openxmlformats.org/drawingml/2006/picture">
                <pic:pic xmlns:pic="http://schemas.openxmlformats.org/drawingml/2006/picture">
                  <pic:nvPicPr>
                    <pic:cNvPr id="12" name="图片 19"/>
                    <pic:cNvPicPr/>
                  </pic:nvPicPr>
                  <pic:blipFill>
                    <a:blip r:embed="rId61"/>
                    <a:stretch>
                      <a:fillRect/>
                    </a:stretch>
                  </pic:blipFill>
                  <pic:spPr>
                    <a:xfrm>
                      <a:off x="0" y="0"/>
                      <a:ext cx="5349875" cy="3599815"/>
                    </a:xfrm>
                    <a:prstGeom prst="rect">
                      <a:avLst/>
                    </a:prstGeom>
                    <a:noFill/>
                    <a:ln>
                      <a:noFill/>
                    </a:ln>
                  </pic:spPr>
                </pic:pic>
              </a:graphicData>
            </a:graphic>
          </wp:inline>
        </w:drawing>
      </w:r>
    </w:p>
    <w:p w14:paraId="46C028A7">
      <w:pPr>
        <w:jc w:val="center"/>
        <w:rPr>
          <w:rFonts w:hint="default" w:ascii="Times New Roman" w:hAnsi="Times New Roman" w:eastAsia="黑体" w:cs="Calibri"/>
          <w:kern w:val="2"/>
          <w:sz w:val="18"/>
          <w:szCs w:val="22"/>
          <w:lang w:val="en-US" w:eastAsia="zh-CN" w:bidi="ar-SA"/>
        </w:rPr>
      </w:pPr>
      <w:r>
        <w:rPr>
          <w:rFonts w:hint="default" w:ascii="Times New Roman" w:hAnsi="Times New Roman" w:eastAsia="黑体" w:cs="Calibri"/>
          <w:kern w:val="2"/>
          <w:sz w:val="18"/>
          <w:szCs w:val="22"/>
          <w:lang w:val="en-US" w:eastAsia="zh-CN" w:bidi="ar-SA"/>
        </w:rPr>
        <w:t>图</w:t>
      </w:r>
      <w:r>
        <w:rPr>
          <w:rFonts w:hint="eastAsia" w:eastAsia="黑体" w:cs="Calibri"/>
          <w:kern w:val="2"/>
          <w:sz w:val="18"/>
          <w:szCs w:val="22"/>
          <w:lang w:val="en-US" w:eastAsia="zh-CN" w:bidi="ar-SA"/>
        </w:rPr>
        <w:t>2-12</w:t>
      </w:r>
      <w:r>
        <w:rPr>
          <w:rFonts w:hint="default" w:ascii="Times New Roman" w:hAnsi="Times New Roman" w:eastAsia="黑体" w:cs="Calibri"/>
          <w:kern w:val="2"/>
          <w:sz w:val="18"/>
          <w:szCs w:val="22"/>
          <w:lang w:val="en-US" w:eastAsia="zh-CN" w:bidi="ar-SA"/>
        </w:rPr>
        <w:t xml:space="preserve"> 定量限初步测试</w:t>
      </w:r>
    </w:p>
    <w:p w14:paraId="223C8518">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r>
        <w:rPr>
          <w:rFonts w:hint="eastAsia" w:ascii="Times New Roman" w:cs="Times New Roman"/>
          <w:sz w:val="18"/>
          <w:szCs w:val="18"/>
          <w:lang w:eastAsia="zh-CN"/>
        </w:rPr>
        <w:t>校准品</w:t>
      </w:r>
      <w:r>
        <w:rPr>
          <w:rFonts w:hint="default" w:ascii="Times New Roman" w:hAnsi="Times New Roman" w:eastAsia="宋体" w:cs="Times New Roman"/>
          <w:sz w:val="18"/>
          <w:szCs w:val="18"/>
        </w:rPr>
        <w:t>S1；2：</w:t>
      </w:r>
      <w:r>
        <w:rPr>
          <w:rFonts w:hint="eastAsia" w:ascii="Times New Roman" w:cs="Times New Roman"/>
          <w:sz w:val="18"/>
          <w:szCs w:val="18"/>
          <w:lang w:eastAsia="zh-CN"/>
        </w:rPr>
        <w:t>校准品</w:t>
      </w:r>
      <w:r>
        <w:rPr>
          <w:rFonts w:hint="default" w:ascii="Times New Roman" w:hAnsi="Times New Roman" w:eastAsia="宋体" w:cs="Times New Roman"/>
          <w:sz w:val="18"/>
          <w:szCs w:val="18"/>
        </w:rPr>
        <w:t>S2；3：</w:t>
      </w:r>
      <w:r>
        <w:rPr>
          <w:rFonts w:hint="eastAsia" w:ascii="Times New Roman" w:cs="Times New Roman"/>
          <w:sz w:val="18"/>
          <w:szCs w:val="18"/>
          <w:lang w:eastAsia="zh-CN"/>
        </w:rPr>
        <w:t>校准品</w:t>
      </w:r>
      <w:r>
        <w:rPr>
          <w:rFonts w:hint="default" w:ascii="Times New Roman" w:hAnsi="Times New Roman" w:eastAsia="宋体" w:cs="Times New Roman"/>
          <w:sz w:val="18"/>
          <w:szCs w:val="18"/>
        </w:rPr>
        <w:t>S3；4：</w:t>
      </w:r>
      <w:r>
        <w:rPr>
          <w:rFonts w:hint="eastAsia" w:ascii="Times New Roman" w:cs="Times New Roman"/>
          <w:sz w:val="18"/>
          <w:szCs w:val="18"/>
          <w:lang w:eastAsia="zh-CN"/>
        </w:rPr>
        <w:t>校准品</w:t>
      </w:r>
      <w:r>
        <w:rPr>
          <w:rFonts w:hint="default" w:ascii="Times New Roman" w:hAnsi="Times New Roman" w:eastAsia="宋体" w:cs="Times New Roman"/>
          <w:sz w:val="18"/>
          <w:szCs w:val="18"/>
        </w:rPr>
        <w:t>S4；5：</w:t>
      </w:r>
      <w:r>
        <w:rPr>
          <w:rFonts w:hint="eastAsia" w:ascii="Times New Roman" w:cs="Times New Roman"/>
          <w:sz w:val="18"/>
          <w:szCs w:val="18"/>
          <w:lang w:eastAsia="zh-CN"/>
        </w:rPr>
        <w:t>校准品</w:t>
      </w:r>
      <w:r>
        <w:rPr>
          <w:rFonts w:hint="default" w:ascii="Times New Roman" w:hAnsi="Times New Roman" w:eastAsia="宋体" w:cs="Times New Roman"/>
          <w:sz w:val="18"/>
          <w:szCs w:val="18"/>
        </w:rPr>
        <w:t>S5；</w:t>
      </w:r>
    </w:p>
    <w:p w14:paraId="579E3D68">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r>
        <w:rPr>
          <w:rFonts w:hint="eastAsia" w:ascii="Times New Roman" w:cs="Times New Roman"/>
          <w:sz w:val="18"/>
          <w:szCs w:val="18"/>
          <w:lang w:eastAsia="zh-CN"/>
        </w:rPr>
        <w:t>QY2569-42</w:t>
      </w:r>
      <w:r>
        <w:rPr>
          <w:rFonts w:hint="default" w:ascii="Times New Roman" w:hAnsi="Times New Roman" w:eastAsia="宋体" w:cs="Times New Roman"/>
          <w:sz w:val="18"/>
          <w:szCs w:val="18"/>
        </w:rPr>
        <w:t>（100拷贝）；7：</w:t>
      </w:r>
      <w:r>
        <w:rPr>
          <w:rFonts w:hint="eastAsia" w:ascii="Times New Roman" w:cs="Times New Roman"/>
          <w:sz w:val="18"/>
          <w:szCs w:val="18"/>
          <w:lang w:eastAsia="zh-CN"/>
        </w:rPr>
        <w:t>QY2569-42</w:t>
      </w:r>
      <w:r>
        <w:rPr>
          <w:rFonts w:hint="default" w:ascii="Times New Roman" w:hAnsi="Times New Roman" w:eastAsia="宋体" w:cs="Times New Roman"/>
          <w:sz w:val="18"/>
          <w:szCs w:val="18"/>
        </w:rPr>
        <w:t>（40拷贝）；8：</w:t>
      </w:r>
      <w:r>
        <w:rPr>
          <w:rFonts w:hint="eastAsia" w:ascii="Times New Roman" w:cs="Times New Roman"/>
          <w:sz w:val="18"/>
          <w:szCs w:val="18"/>
          <w:lang w:eastAsia="zh-CN"/>
        </w:rPr>
        <w:t>QY2569-42</w:t>
      </w:r>
      <w:r>
        <w:rPr>
          <w:rFonts w:hint="default" w:ascii="Times New Roman" w:hAnsi="Times New Roman" w:eastAsia="宋体" w:cs="Times New Roman"/>
          <w:sz w:val="18"/>
          <w:szCs w:val="18"/>
        </w:rPr>
        <w:t>（20拷贝）；</w:t>
      </w:r>
    </w:p>
    <w:p w14:paraId="04F15D14">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r>
        <w:rPr>
          <w:rFonts w:hint="eastAsia" w:ascii="Times New Roman" w:cs="Times New Roman"/>
          <w:sz w:val="18"/>
          <w:szCs w:val="18"/>
          <w:lang w:eastAsia="zh-CN"/>
        </w:rPr>
        <w:t>QY2569-42</w:t>
      </w:r>
      <w:r>
        <w:rPr>
          <w:rFonts w:hint="default" w:ascii="Times New Roman" w:hAnsi="Times New Roman" w:eastAsia="宋体" w:cs="Times New Roman"/>
          <w:sz w:val="18"/>
          <w:szCs w:val="18"/>
        </w:rPr>
        <w:t>（10拷贝）；10：阴性质控品；11：空白质控品</w:t>
      </w:r>
    </w:p>
    <w:p w14:paraId="48F7BC0A">
      <w:pPr>
        <w:pStyle w:val="22"/>
        <w:spacing w:line="240" w:lineRule="auto"/>
        <w:ind w:firstLine="424" w:firstLineChars="202"/>
        <w:jc w:val="center"/>
        <w:rPr>
          <w:rFonts w:ascii="Times New Roman" w:eastAsia="仿宋"/>
          <w:szCs w:val="21"/>
        </w:rPr>
      </w:pPr>
    </w:p>
    <w:p w14:paraId="1B45F35F">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highlight w:val="none"/>
          <w:lang w:val="en-US" w:eastAsia="zh-CN" w:bidi="ar-SA"/>
        </w:rPr>
      </w:pPr>
      <w:r>
        <w:rPr>
          <w:rFonts w:hint="eastAsia" w:ascii="Times New Roman" w:hAnsi="Times New Roman" w:eastAsia="黑体" w:cs="Calibri"/>
          <w:b w:val="0"/>
          <w:bCs/>
          <w:kern w:val="2"/>
          <w:sz w:val="21"/>
          <w:szCs w:val="32"/>
          <w:highlight w:val="none"/>
          <w:lang w:val="en-US" w:eastAsia="zh-CN" w:bidi="ar-SA"/>
        </w:rPr>
        <w:t>7.2.5 定量限的确认</w:t>
      </w:r>
    </w:p>
    <w:p w14:paraId="1EF529A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对通过初步测试的</w:t>
      </w:r>
      <w:r>
        <w:rPr>
          <w:rFonts w:hint="eastAsia" w:ascii="Times New Roman" w:hAnsi="Times New Roman" w:eastAsia="宋体" w:cs="Times New Roman"/>
          <w:color w:val="auto"/>
          <w:sz w:val="21"/>
          <w:szCs w:val="21"/>
          <w:highlight w:val="none"/>
          <w:lang w:val="en-US" w:eastAsia="zh-CN"/>
        </w:rPr>
        <w:t>QY2569-42</w:t>
      </w:r>
      <w:r>
        <w:rPr>
          <w:rFonts w:hint="default" w:ascii="Times New Roman" w:hAnsi="Times New Roman" w:eastAsia="宋体" w:cs="Times New Roman"/>
          <w:color w:val="auto"/>
          <w:sz w:val="21"/>
          <w:szCs w:val="21"/>
          <w:highlight w:val="none"/>
          <w:lang w:val="en-US" w:eastAsia="zh-CN"/>
        </w:rPr>
        <w:t>转化体拷贝数比值为0.1%（在PCR检测反应体系中加入100 ng DNA模板进行测算）定量限的样品，进行15个反应的定量测试，计算检测数据的相对偏倚（</w:t>
      </w:r>
      <w:r>
        <w:rPr>
          <w:rFonts w:hint="eastAsia" w:ascii="Times New Roman" w:hAnsi="Times New Roman" w:eastAsia="宋体" w:cs="Times New Roman"/>
          <w:color w:val="auto"/>
          <w:sz w:val="21"/>
          <w:szCs w:val="21"/>
          <w:highlight w:val="none"/>
          <w:lang w:val="en-US" w:eastAsia="zh-CN"/>
        </w:rPr>
        <w:t>bias</w:t>
      </w:r>
      <w:r>
        <w:rPr>
          <w:rFonts w:hint="default" w:ascii="Times New Roman" w:hAnsi="Times New Roman" w:eastAsia="宋体" w:cs="Times New Roman"/>
          <w:color w:val="auto"/>
          <w:sz w:val="21"/>
          <w:szCs w:val="21"/>
          <w:highlight w:val="none"/>
          <w:lang w:val="en-US" w:eastAsia="zh-CN"/>
        </w:rPr>
        <w:t>R）和相对标准差（RSD）。</w:t>
      </w:r>
    </w:p>
    <w:p w14:paraId="2DC3436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结果显示（表</w:t>
      </w:r>
      <w:r>
        <w:rPr>
          <w:rFonts w:hint="eastAsia" w:cs="Times New Roman"/>
          <w:color w:val="auto"/>
          <w:sz w:val="21"/>
          <w:szCs w:val="21"/>
          <w:highlight w:val="none"/>
          <w:lang w:val="en-US" w:eastAsia="zh-CN"/>
        </w:rPr>
        <w:t>2-19</w:t>
      </w:r>
      <w:r>
        <w:rPr>
          <w:rFonts w:hint="default" w:ascii="Times New Roman" w:hAnsi="Times New Roman" w:eastAsia="宋体" w:cs="Times New Roman"/>
          <w:color w:val="auto"/>
          <w:sz w:val="21"/>
          <w:szCs w:val="21"/>
          <w:highlight w:val="none"/>
          <w:lang w:val="en-US" w:eastAsia="zh-CN"/>
        </w:rPr>
        <w:t>），相对偏倚和相对标准偏差均≤25%，在允许范围之内，即确定</w:t>
      </w:r>
      <w:r>
        <w:rPr>
          <w:rFonts w:hint="eastAsia" w:ascii="Times New Roman" w:hAnsi="Times New Roman" w:eastAsia="宋体" w:cs="Times New Roman"/>
          <w:color w:val="auto"/>
          <w:sz w:val="21"/>
          <w:szCs w:val="21"/>
          <w:highlight w:val="none"/>
          <w:lang w:val="en-US" w:eastAsia="zh-CN"/>
        </w:rPr>
        <w:t>QY2569-42</w:t>
      </w:r>
      <w:r>
        <w:rPr>
          <w:rFonts w:hint="default" w:ascii="Times New Roman" w:hAnsi="Times New Roman" w:eastAsia="宋体" w:cs="Times New Roman"/>
          <w:color w:val="auto"/>
          <w:sz w:val="21"/>
          <w:szCs w:val="21"/>
          <w:highlight w:val="none"/>
          <w:lang w:val="en-US" w:eastAsia="zh-CN"/>
        </w:rPr>
        <w:t>转化体荧光定量PCR方法的定量限可达到0.1%，满足欧盟标准的要求。</w:t>
      </w:r>
    </w:p>
    <w:p w14:paraId="1C40C4B6">
      <w:pPr>
        <w:jc w:val="center"/>
        <w:rPr>
          <w:rFonts w:eastAsia="仿宋"/>
          <w:b/>
          <w:bCs/>
          <w:szCs w:val="21"/>
        </w:rPr>
      </w:pPr>
      <w:r>
        <w:rPr>
          <w:rFonts w:ascii="Times New Roman" w:hAnsi="Times New Roman" w:eastAsia="黑体" w:cs="Calibri"/>
          <w:kern w:val="2"/>
          <w:sz w:val="18"/>
          <w:szCs w:val="22"/>
          <w:lang w:val="en-US" w:eastAsia="zh-CN" w:bidi="ar-SA"/>
        </w:rPr>
        <w:t>表</w:t>
      </w:r>
      <w:r>
        <w:rPr>
          <w:rFonts w:hint="eastAsia" w:eastAsia="黑体" w:cs="Calibri"/>
          <w:kern w:val="2"/>
          <w:sz w:val="18"/>
          <w:szCs w:val="22"/>
          <w:lang w:val="en-US" w:eastAsia="zh-CN" w:bidi="ar-SA"/>
        </w:rPr>
        <w:t>2-19</w:t>
      </w:r>
      <w:r>
        <w:rPr>
          <w:rFonts w:ascii="Times New Roman" w:hAnsi="Times New Roman" w:eastAsia="黑体" w:cs="Calibri"/>
          <w:kern w:val="2"/>
          <w:sz w:val="18"/>
          <w:szCs w:val="22"/>
          <w:lang w:val="en-US" w:eastAsia="zh-CN" w:bidi="ar-SA"/>
        </w:rPr>
        <w:t xml:space="preserve"> 定量限确认测试结果</w:t>
      </w:r>
    </w:p>
    <w:tbl>
      <w:tblPr>
        <w:tblStyle w:val="16"/>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2327"/>
        <w:gridCol w:w="2327"/>
        <w:gridCol w:w="1869"/>
      </w:tblGrid>
      <w:tr w14:paraId="6DDC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24" w:type="dxa"/>
            <w:vAlign w:val="center"/>
          </w:tcPr>
          <w:p w14:paraId="5E6E289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重复</w:t>
            </w:r>
          </w:p>
        </w:tc>
        <w:tc>
          <w:tcPr>
            <w:tcW w:w="2327" w:type="dxa"/>
            <w:vAlign w:val="center"/>
          </w:tcPr>
          <w:p w14:paraId="070FBAEC">
            <w:pPr>
              <w:jc w:val="center"/>
              <w:rPr>
                <w:rFonts w:hint="default" w:ascii="Times New Roman" w:hAnsi="Times New Roman" w:eastAsia="宋体" w:cs="Times New Roman"/>
                <w:b/>
                <w:bCs/>
                <w:sz w:val="18"/>
                <w:szCs w:val="18"/>
              </w:rPr>
            </w:pPr>
            <w:r>
              <w:rPr>
                <w:rFonts w:hint="eastAsia" w:cs="Times New Roman"/>
                <w:b/>
                <w:bCs/>
                <w:sz w:val="18"/>
                <w:szCs w:val="18"/>
                <w:lang w:eastAsia="zh-CN"/>
              </w:rPr>
              <w:t>QY2569-42</w:t>
            </w:r>
            <w:r>
              <w:rPr>
                <w:rFonts w:hint="default" w:ascii="Times New Roman" w:hAnsi="Times New Roman" w:eastAsia="宋体" w:cs="Times New Roman"/>
                <w:b/>
                <w:bCs/>
                <w:sz w:val="18"/>
                <w:szCs w:val="18"/>
              </w:rPr>
              <w:t>转化体拷贝数（copies）</w:t>
            </w:r>
          </w:p>
        </w:tc>
        <w:tc>
          <w:tcPr>
            <w:tcW w:w="2327" w:type="dxa"/>
            <w:vAlign w:val="center"/>
          </w:tcPr>
          <w:p w14:paraId="689C5F46">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sz w:val="18"/>
                <w:szCs w:val="18"/>
              </w:rPr>
              <w:t>zSSIIb</w:t>
            </w:r>
            <w:r>
              <w:rPr>
                <w:rFonts w:hint="default" w:ascii="Times New Roman" w:hAnsi="Times New Roman" w:eastAsia="宋体" w:cs="Times New Roman"/>
                <w:b/>
                <w:bCs/>
                <w:sz w:val="18"/>
                <w:szCs w:val="18"/>
              </w:rPr>
              <w:t>基因拷贝数（copies）</w:t>
            </w:r>
          </w:p>
        </w:tc>
        <w:tc>
          <w:tcPr>
            <w:tcW w:w="1869" w:type="dxa"/>
            <w:vAlign w:val="center"/>
          </w:tcPr>
          <w:p w14:paraId="25AE2832">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测量值</w:t>
            </w:r>
            <w:r>
              <w:rPr>
                <w:rFonts w:hint="default" w:ascii="Times New Roman" w:hAnsi="Times New Roman" w:eastAsia="宋体" w:cs="Times New Roman"/>
                <w:b/>
                <w:sz w:val="18"/>
                <w:szCs w:val="18"/>
              </w:rPr>
              <w:t>（%）</w:t>
            </w:r>
          </w:p>
        </w:tc>
      </w:tr>
      <w:tr w14:paraId="41AD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3A79E42E">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w:t>
            </w:r>
          </w:p>
        </w:tc>
        <w:tc>
          <w:tcPr>
            <w:tcW w:w="2327" w:type="dxa"/>
            <w:shd w:val="clear" w:color="auto" w:fill="auto"/>
            <w:vAlign w:val="bottom"/>
          </w:tcPr>
          <w:p w14:paraId="0C278BC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35.336</w:t>
            </w:r>
          </w:p>
        </w:tc>
        <w:tc>
          <w:tcPr>
            <w:tcW w:w="2327" w:type="dxa"/>
            <w:shd w:val="clear" w:color="auto" w:fill="auto"/>
            <w:vAlign w:val="bottom"/>
          </w:tcPr>
          <w:p w14:paraId="1863AAB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35,718.590</w:t>
            </w:r>
          </w:p>
        </w:tc>
        <w:tc>
          <w:tcPr>
            <w:tcW w:w="1869" w:type="dxa"/>
            <w:shd w:val="clear" w:color="auto" w:fill="auto"/>
            <w:vAlign w:val="bottom"/>
          </w:tcPr>
          <w:p w14:paraId="0CA5614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0.099</w:t>
            </w:r>
          </w:p>
        </w:tc>
      </w:tr>
      <w:tr w14:paraId="2F85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4B4AC54A">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重复2</w:t>
            </w:r>
          </w:p>
        </w:tc>
        <w:tc>
          <w:tcPr>
            <w:tcW w:w="2327" w:type="dxa"/>
            <w:shd w:val="clear" w:color="auto" w:fill="auto"/>
            <w:vAlign w:val="bottom"/>
          </w:tcPr>
          <w:p w14:paraId="53A01C9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37.091</w:t>
            </w:r>
          </w:p>
        </w:tc>
        <w:tc>
          <w:tcPr>
            <w:tcW w:w="2327" w:type="dxa"/>
            <w:shd w:val="clear" w:color="auto" w:fill="auto"/>
            <w:vAlign w:val="bottom"/>
          </w:tcPr>
          <w:p w14:paraId="67AF17C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35,502.984</w:t>
            </w:r>
          </w:p>
        </w:tc>
        <w:tc>
          <w:tcPr>
            <w:tcW w:w="1869" w:type="dxa"/>
            <w:shd w:val="clear" w:color="auto" w:fill="auto"/>
            <w:vAlign w:val="bottom"/>
          </w:tcPr>
          <w:p w14:paraId="3ED384B3">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0.104</w:t>
            </w:r>
          </w:p>
        </w:tc>
      </w:tr>
      <w:tr w14:paraId="1267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56F739BB">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重复3</w:t>
            </w:r>
          </w:p>
        </w:tc>
        <w:tc>
          <w:tcPr>
            <w:tcW w:w="2327" w:type="dxa"/>
            <w:shd w:val="clear" w:color="auto" w:fill="auto"/>
            <w:vAlign w:val="bottom"/>
          </w:tcPr>
          <w:p w14:paraId="558B1A2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33.943</w:t>
            </w:r>
          </w:p>
        </w:tc>
        <w:tc>
          <w:tcPr>
            <w:tcW w:w="2327" w:type="dxa"/>
            <w:shd w:val="clear" w:color="auto" w:fill="auto"/>
            <w:vAlign w:val="bottom"/>
          </w:tcPr>
          <w:p w14:paraId="276A9C4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35,437.395</w:t>
            </w:r>
          </w:p>
        </w:tc>
        <w:tc>
          <w:tcPr>
            <w:tcW w:w="1869" w:type="dxa"/>
            <w:shd w:val="clear" w:color="auto" w:fill="auto"/>
            <w:vAlign w:val="bottom"/>
          </w:tcPr>
          <w:p w14:paraId="5D972CF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0.096</w:t>
            </w:r>
          </w:p>
        </w:tc>
      </w:tr>
      <w:tr w14:paraId="269C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63C7DEDF">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重复4</w:t>
            </w:r>
          </w:p>
        </w:tc>
        <w:tc>
          <w:tcPr>
            <w:tcW w:w="2327" w:type="dxa"/>
            <w:shd w:val="clear" w:color="auto" w:fill="auto"/>
            <w:vAlign w:val="bottom"/>
          </w:tcPr>
          <w:p w14:paraId="4980850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36.840</w:t>
            </w:r>
          </w:p>
        </w:tc>
        <w:tc>
          <w:tcPr>
            <w:tcW w:w="2327" w:type="dxa"/>
            <w:shd w:val="clear" w:color="auto" w:fill="auto"/>
            <w:vAlign w:val="bottom"/>
          </w:tcPr>
          <w:p w14:paraId="5BFC37D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37,356.113</w:t>
            </w:r>
          </w:p>
        </w:tc>
        <w:tc>
          <w:tcPr>
            <w:tcW w:w="1869" w:type="dxa"/>
            <w:shd w:val="clear" w:color="auto" w:fill="auto"/>
            <w:vAlign w:val="bottom"/>
          </w:tcPr>
          <w:p w14:paraId="41B9A39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0.099</w:t>
            </w:r>
          </w:p>
        </w:tc>
      </w:tr>
      <w:tr w14:paraId="25B4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3EAAD9DC">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重复5</w:t>
            </w:r>
          </w:p>
        </w:tc>
        <w:tc>
          <w:tcPr>
            <w:tcW w:w="2327" w:type="dxa"/>
            <w:shd w:val="clear" w:color="auto" w:fill="auto"/>
            <w:vAlign w:val="bottom"/>
          </w:tcPr>
          <w:p w14:paraId="62DA2C2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38.418</w:t>
            </w:r>
          </w:p>
        </w:tc>
        <w:tc>
          <w:tcPr>
            <w:tcW w:w="2327" w:type="dxa"/>
            <w:shd w:val="clear" w:color="auto" w:fill="auto"/>
            <w:vAlign w:val="bottom"/>
          </w:tcPr>
          <w:p w14:paraId="1756206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37,639.141</w:t>
            </w:r>
          </w:p>
        </w:tc>
        <w:tc>
          <w:tcPr>
            <w:tcW w:w="1869" w:type="dxa"/>
            <w:shd w:val="clear" w:color="auto" w:fill="auto"/>
            <w:vAlign w:val="bottom"/>
          </w:tcPr>
          <w:p w14:paraId="050AE42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0.102</w:t>
            </w:r>
          </w:p>
        </w:tc>
      </w:tr>
      <w:tr w14:paraId="07AD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70DB341F">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重复6</w:t>
            </w:r>
          </w:p>
        </w:tc>
        <w:tc>
          <w:tcPr>
            <w:tcW w:w="2327" w:type="dxa"/>
            <w:shd w:val="clear" w:color="auto" w:fill="auto"/>
            <w:vAlign w:val="bottom"/>
          </w:tcPr>
          <w:p w14:paraId="53CE31C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34.597</w:t>
            </w:r>
          </w:p>
        </w:tc>
        <w:tc>
          <w:tcPr>
            <w:tcW w:w="2327" w:type="dxa"/>
            <w:shd w:val="clear" w:color="auto" w:fill="auto"/>
            <w:vAlign w:val="bottom"/>
          </w:tcPr>
          <w:p w14:paraId="4AE5CB78">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36,383.934</w:t>
            </w:r>
          </w:p>
        </w:tc>
        <w:tc>
          <w:tcPr>
            <w:tcW w:w="1869" w:type="dxa"/>
            <w:shd w:val="clear" w:color="auto" w:fill="auto"/>
            <w:vAlign w:val="bottom"/>
          </w:tcPr>
          <w:p w14:paraId="4600A8F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0.095</w:t>
            </w:r>
          </w:p>
        </w:tc>
      </w:tr>
      <w:tr w14:paraId="403B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421D67F1">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重复7</w:t>
            </w:r>
          </w:p>
        </w:tc>
        <w:tc>
          <w:tcPr>
            <w:tcW w:w="2327" w:type="dxa"/>
            <w:shd w:val="clear" w:color="auto" w:fill="auto"/>
            <w:vAlign w:val="bottom"/>
          </w:tcPr>
          <w:p w14:paraId="3A638EB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36.572</w:t>
            </w:r>
          </w:p>
        </w:tc>
        <w:tc>
          <w:tcPr>
            <w:tcW w:w="2327" w:type="dxa"/>
            <w:shd w:val="clear" w:color="auto" w:fill="auto"/>
            <w:vAlign w:val="bottom"/>
          </w:tcPr>
          <w:p w14:paraId="02986262">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37,345.527</w:t>
            </w:r>
          </w:p>
        </w:tc>
        <w:tc>
          <w:tcPr>
            <w:tcW w:w="1869" w:type="dxa"/>
            <w:shd w:val="clear" w:color="auto" w:fill="auto"/>
            <w:vAlign w:val="bottom"/>
          </w:tcPr>
          <w:p w14:paraId="5E659B2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0.098</w:t>
            </w:r>
          </w:p>
        </w:tc>
      </w:tr>
      <w:tr w14:paraId="743C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1D460DDA">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重复8</w:t>
            </w:r>
          </w:p>
        </w:tc>
        <w:tc>
          <w:tcPr>
            <w:tcW w:w="2327" w:type="dxa"/>
            <w:shd w:val="clear" w:color="auto" w:fill="auto"/>
            <w:vAlign w:val="bottom"/>
          </w:tcPr>
          <w:p w14:paraId="7B9207B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35.583</w:t>
            </w:r>
          </w:p>
        </w:tc>
        <w:tc>
          <w:tcPr>
            <w:tcW w:w="2327" w:type="dxa"/>
            <w:shd w:val="clear" w:color="auto" w:fill="auto"/>
            <w:vAlign w:val="bottom"/>
          </w:tcPr>
          <w:p w14:paraId="4A37EA6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33,377.027</w:t>
            </w:r>
          </w:p>
        </w:tc>
        <w:tc>
          <w:tcPr>
            <w:tcW w:w="1869" w:type="dxa"/>
            <w:shd w:val="clear" w:color="auto" w:fill="auto"/>
            <w:vAlign w:val="bottom"/>
          </w:tcPr>
          <w:p w14:paraId="0FE7A18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0.107</w:t>
            </w:r>
          </w:p>
        </w:tc>
      </w:tr>
      <w:tr w14:paraId="7E87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7E25B195">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重复9</w:t>
            </w:r>
          </w:p>
        </w:tc>
        <w:tc>
          <w:tcPr>
            <w:tcW w:w="2327" w:type="dxa"/>
            <w:shd w:val="clear" w:color="auto" w:fill="auto"/>
            <w:vAlign w:val="bottom"/>
          </w:tcPr>
          <w:p w14:paraId="6E25845A">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32.622</w:t>
            </w:r>
          </w:p>
        </w:tc>
        <w:tc>
          <w:tcPr>
            <w:tcW w:w="2327" w:type="dxa"/>
            <w:shd w:val="clear" w:color="auto" w:fill="auto"/>
            <w:vAlign w:val="bottom"/>
          </w:tcPr>
          <w:p w14:paraId="4625372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31,972.119</w:t>
            </w:r>
          </w:p>
        </w:tc>
        <w:tc>
          <w:tcPr>
            <w:tcW w:w="1869" w:type="dxa"/>
            <w:shd w:val="clear" w:color="auto" w:fill="auto"/>
            <w:vAlign w:val="bottom"/>
          </w:tcPr>
          <w:p w14:paraId="2E305144">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0.102</w:t>
            </w:r>
          </w:p>
        </w:tc>
      </w:tr>
      <w:tr w14:paraId="50DD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2C4B9E40">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重复10</w:t>
            </w:r>
          </w:p>
        </w:tc>
        <w:tc>
          <w:tcPr>
            <w:tcW w:w="2327" w:type="dxa"/>
            <w:shd w:val="clear" w:color="auto" w:fill="auto"/>
            <w:vAlign w:val="bottom"/>
          </w:tcPr>
          <w:p w14:paraId="026752C1">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29.797</w:t>
            </w:r>
          </w:p>
        </w:tc>
        <w:tc>
          <w:tcPr>
            <w:tcW w:w="2327" w:type="dxa"/>
            <w:shd w:val="clear" w:color="auto" w:fill="auto"/>
            <w:vAlign w:val="bottom"/>
          </w:tcPr>
          <w:p w14:paraId="027AB6B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32,936.371</w:t>
            </w:r>
          </w:p>
        </w:tc>
        <w:tc>
          <w:tcPr>
            <w:tcW w:w="1869" w:type="dxa"/>
            <w:shd w:val="clear" w:color="auto" w:fill="auto"/>
            <w:vAlign w:val="bottom"/>
          </w:tcPr>
          <w:p w14:paraId="6FC05817">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0.090</w:t>
            </w:r>
          </w:p>
        </w:tc>
      </w:tr>
      <w:tr w14:paraId="71A0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24D736FC">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重复11</w:t>
            </w:r>
          </w:p>
        </w:tc>
        <w:tc>
          <w:tcPr>
            <w:tcW w:w="2327" w:type="dxa"/>
            <w:shd w:val="clear" w:color="auto" w:fill="auto"/>
            <w:vAlign w:val="bottom"/>
          </w:tcPr>
          <w:p w14:paraId="570DE9D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32.431</w:t>
            </w:r>
          </w:p>
        </w:tc>
        <w:tc>
          <w:tcPr>
            <w:tcW w:w="2327" w:type="dxa"/>
            <w:shd w:val="clear" w:color="auto" w:fill="auto"/>
            <w:vAlign w:val="bottom"/>
          </w:tcPr>
          <w:p w14:paraId="395CB83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33,254.012</w:t>
            </w:r>
          </w:p>
        </w:tc>
        <w:tc>
          <w:tcPr>
            <w:tcW w:w="1869" w:type="dxa"/>
            <w:shd w:val="clear" w:color="auto" w:fill="auto"/>
            <w:vAlign w:val="bottom"/>
          </w:tcPr>
          <w:p w14:paraId="20F8F22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0.098</w:t>
            </w:r>
          </w:p>
        </w:tc>
      </w:tr>
      <w:tr w14:paraId="3B74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62A7567F">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重复12</w:t>
            </w:r>
          </w:p>
        </w:tc>
        <w:tc>
          <w:tcPr>
            <w:tcW w:w="2327" w:type="dxa"/>
            <w:shd w:val="clear" w:color="auto" w:fill="auto"/>
            <w:vAlign w:val="bottom"/>
          </w:tcPr>
          <w:p w14:paraId="0A504F13">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31.145</w:t>
            </w:r>
          </w:p>
        </w:tc>
        <w:tc>
          <w:tcPr>
            <w:tcW w:w="2327" w:type="dxa"/>
            <w:shd w:val="clear" w:color="auto" w:fill="auto"/>
            <w:vAlign w:val="bottom"/>
          </w:tcPr>
          <w:p w14:paraId="6352490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33,975.594</w:t>
            </w:r>
          </w:p>
        </w:tc>
        <w:tc>
          <w:tcPr>
            <w:tcW w:w="1869" w:type="dxa"/>
            <w:shd w:val="clear" w:color="auto" w:fill="auto"/>
            <w:vAlign w:val="bottom"/>
          </w:tcPr>
          <w:p w14:paraId="7940F375">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0.092</w:t>
            </w:r>
          </w:p>
        </w:tc>
      </w:tr>
      <w:tr w14:paraId="346C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07D84D4C">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重复13</w:t>
            </w:r>
          </w:p>
        </w:tc>
        <w:tc>
          <w:tcPr>
            <w:tcW w:w="2327" w:type="dxa"/>
            <w:shd w:val="clear" w:color="auto" w:fill="auto"/>
            <w:vAlign w:val="bottom"/>
          </w:tcPr>
          <w:p w14:paraId="1E221090">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34.101</w:t>
            </w:r>
          </w:p>
        </w:tc>
        <w:tc>
          <w:tcPr>
            <w:tcW w:w="2327" w:type="dxa"/>
            <w:shd w:val="clear" w:color="auto" w:fill="auto"/>
            <w:vAlign w:val="bottom"/>
          </w:tcPr>
          <w:p w14:paraId="72B65AAC">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33,948.457</w:t>
            </w:r>
          </w:p>
        </w:tc>
        <w:tc>
          <w:tcPr>
            <w:tcW w:w="1869" w:type="dxa"/>
            <w:shd w:val="clear" w:color="auto" w:fill="auto"/>
            <w:vAlign w:val="bottom"/>
          </w:tcPr>
          <w:p w14:paraId="389CB02F">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0.100</w:t>
            </w:r>
          </w:p>
        </w:tc>
      </w:tr>
      <w:tr w14:paraId="3FE1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0E36DBE0">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重复14</w:t>
            </w:r>
          </w:p>
        </w:tc>
        <w:tc>
          <w:tcPr>
            <w:tcW w:w="2327" w:type="dxa"/>
            <w:shd w:val="clear" w:color="auto" w:fill="auto"/>
            <w:vAlign w:val="bottom"/>
          </w:tcPr>
          <w:p w14:paraId="3D2E3E83">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33.502</w:t>
            </w:r>
          </w:p>
        </w:tc>
        <w:tc>
          <w:tcPr>
            <w:tcW w:w="2327" w:type="dxa"/>
            <w:shd w:val="clear" w:color="auto" w:fill="auto"/>
            <w:vAlign w:val="bottom"/>
          </w:tcPr>
          <w:p w14:paraId="7961E87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34,645.828</w:t>
            </w:r>
          </w:p>
        </w:tc>
        <w:tc>
          <w:tcPr>
            <w:tcW w:w="1869" w:type="dxa"/>
            <w:shd w:val="clear" w:color="auto" w:fill="auto"/>
            <w:vAlign w:val="bottom"/>
          </w:tcPr>
          <w:p w14:paraId="7526E4A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0.097</w:t>
            </w:r>
          </w:p>
        </w:tc>
      </w:tr>
      <w:tr w14:paraId="6B96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0C1FC95C">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重复15</w:t>
            </w:r>
          </w:p>
        </w:tc>
        <w:tc>
          <w:tcPr>
            <w:tcW w:w="2327" w:type="dxa"/>
            <w:shd w:val="clear" w:color="auto" w:fill="auto"/>
            <w:vAlign w:val="bottom"/>
          </w:tcPr>
          <w:p w14:paraId="58200A9B">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33.433</w:t>
            </w:r>
          </w:p>
        </w:tc>
        <w:tc>
          <w:tcPr>
            <w:tcW w:w="2327" w:type="dxa"/>
            <w:shd w:val="clear" w:color="auto" w:fill="auto"/>
            <w:vAlign w:val="bottom"/>
          </w:tcPr>
          <w:p w14:paraId="389A1DA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35,022.063</w:t>
            </w:r>
          </w:p>
        </w:tc>
        <w:tc>
          <w:tcPr>
            <w:tcW w:w="1869" w:type="dxa"/>
            <w:shd w:val="clear" w:color="auto" w:fill="auto"/>
            <w:vAlign w:val="bottom"/>
          </w:tcPr>
          <w:p w14:paraId="7A166169">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auto"/>
                <w:sz w:val="18"/>
                <w:szCs w:val="18"/>
                <w:highlight w:val="none"/>
              </w:rPr>
              <w:t>0.095</w:t>
            </w:r>
          </w:p>
        </w:tc>
      </w:tr>
      <w:tr w14:paraId="3C6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12962603">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平均测量值（%）</w:t>
            </w:r>
          </w:p>
        </w:tc>
        <w:tc>
          <w:tcPr>
            <w:tcW w:w="2327" w:type="dxa"/>
            <w:vAlign w:val="center"/>
          </w:tcPr>
          <w:p w14:paraId="7C49EDB1">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2327" w:type="dxa"/>
            <w:vAlign w:val="center"/>
          </w:tcPr>
          <w:p w14:paraId="5F1F81F9">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1869" w:type="dxa"/>
            <w:shd w:val="clear" w:color="auto" w:fill="auto"/>
            <w:vAlign w:val="center"/>
          </w:tcPr>
          <w:p w14:paraId="2B6E5DA3">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cs="Times New Roman"/>
                <w:color w:val="auto"/>
                <w:sz w:val="18"/>
                <w:szCs w:val="18"/>
                <w:highlight w:val="none"/>
              </w:rPr>
              <w:t>0.098</w:t>
            </w:r>
          </w:p>
        </w:tc>
      </w:tr>
      <w:tr w14:paraId="1039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49449A9D">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相对偏倚</w:t>
            </w:r>
          </w:p>
          <w:p w14:paraId="583E8F7E">
            <w:pPr>
              <w:widowControl/>
              <w:jc w:val="center"/>
              <w:textAlignment w:val="center"/>
              <w:rPr>
                <w:rFonts w:hint="default" w:ascii="Times New Roman" w:hAnsi="Times New Roman" w:eastAsia="宋体" w:cs="Times New Roman"/>
                <w:kern w:val="0"/>
                <w:sz w:val="18"/>
                <w:szCs w:val="18"/>
              </w:rPr>
            </w:pPr>
            <w:r>
              <w:rPr>
                <w:rFonts w:hint="eastAsia" w:ascii="Times New Roman" w:hAnsi="Times New Roman" w:cs="Times New Roman"/>
                <w:b/>
                <w:i/>
                <w:iCs/>
                <w:sz w:val="18"/>
                <w:szCs w:val="18"/>
                <w:lang w:eastAsia="zh-CN"/>
              </w:rPr>
              <w:t>bias</w:t>
            </w:r>
            <w:r>
              <w:rPr>
                <w:rFonts w:hint="default" w:ascii="Times New Roman" w:hAnsi="Times New Roman" w:eastAsia="宋体" w:cs="Times New Roman"/>
                <w:b/>
                <w:sz w:val="18"/>
                <w:szCs w:val="18"/>
              </w:rPr>
              <w:t>R（%）</w:t>
            </w:r>
          </w:p>
        </w:tc>
        <w:tc>
          <w:tcPr>
            <w:tcW w:w="2327" w:type="dxa"/>
            <w:vAlign w:val="center"/>
          </w:tcPr>
          <w:p w14:paraId="0F9A7DFD">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2327" w:type="dxa"/>
            <w:vAlign w:val="center"/>
          </w:tcPr>
          <w:p w14:paraId="6EF3EC50">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1869" w:type="dxa"/>
            <w:shd w:val="clear" w:color="auto" w:fill="auto"/>
            <w:vAlign w:val="center"/>
          </w:tcPr>
          <w:p w14:paraId="2A582F8D">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cs="Times New Roman"/>
                <w:color w:val="auto"/>
                <w:sz w:val="18"/>
                <w:szCs w:val="18"/>
                <w:highlight w:val="none"/>
                <w:lang w:val="en-US" w:eastAsia="zh-CN"/>
              </w:rPr>
              <w:t>2.000</w:t>
            </w:r>
          </w:p>
        </w:tc>
      </w:tr>
      <w:tr w14:paraId="6491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3C8C3372">
            <w:pPr>
              <w:widowControl/>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标准差SD</w:t>
            </w:r>
          </w:p>
        </w:tc>
        <w:tc>
          <w:tcPr>
            <w:tcW w:w="2327" w:type="dxa"/>
            <w:vAlign w:val="center"/>
          </w:tcPr>
          <w:p w14:paraId="549C54BE">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2327" w:type="dxa"/>
            <w:vAlign w:val="center"/>
          </w:tcPr>
          <w:p w14:paraId="64DD9C33">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1869" w:type="dxa"/>
            <w:shd w:val="clear" w:color="auto" w:fill="auto"/>
            <w:vAlign w:val="center"/>
          </w:tcPr>
          <w:p w14:paraId="4449B16E">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cs="Times New Roman"/>
                <w:color w:val="auto"/>
                <w:sz w:val="18"/>
                <w:szCs w:val="18"/>
                <w:highlight w:val="none"/>
              </w:rPr>
              <w:t>0.004</w:t>
            </w:r>
          </w:p>
        </w:tc>
      </w:tr>
      <w:tr w14:paraId="6137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dxa"/>
            <w:vAlign w:val="center"/>
          </w:tcPr>
          <w:p w14:paraId="381156AC">
            <w:pPr>
              <w:widowControl/>
              <w:jc w:val="center"/>
              <w:textAlignment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相对标准差RSDr（%）</w:t>
            </w:r>
          </w:p>
        </w:tc>
        <w:tc>
          <w:tcPr>
            <w:tcW w:w="2327" w:type="dxa"/>
            <w:vAlign w:val="center"/>
          </w:tcPr>
          <w:p w14:paraId="0A4105B7">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2327" w:type="dxa"/>
            <w:vAlign w:val="center"/>
          </w:tcPr>
          <w:p w14:paraId="32479799">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auto"/>
                <w:kern w:val="0"/>
                <w:sz w:val="18"/>
                <w:szCs w:val="18"/>
                <w:highlight w:val="none"/>
              </w:rPr>
              <w:t>/</w:t>
            </w:r>
          </w:p>
        </w:tc>
        <w:tc>
          <w:tcPr>
            <w:tcW w:w="1869" w:type="dxa"/>
            <w:shd w:val="clear" w:color="auto" w:fill="auto"/>
            <w:vAlign w:val="center"/>
          </w:tcPr>
          <w:p w14:paraId="52FAFC56">
            <w:pPr>
              <w:pStyle w:val="15"/>
              <w:keepNext w:val="0"/>
              <w:keepLines w:val="0"/>
              <w:widowControl/>
              <w:suppressLineNumbers w:val="0"/>
              <w:kinsoku/>
              <w:wordWrap/>
              <w:overflowPunct/>
              <w:ind w:left="0" w:leftChars="0" w:right="0" w:right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cs="Times New Roman"/>
                <w:color w:val="auto"/>
                <w:sz w:val="18"/>
                <w:szCs w:val="18"/>
                <w:highlight w:val="none"/>
              </w:rPr>
              <w:t>4.</w:t>
            </w:r>
            <w:r>
              <w:rPr>
                <w:rFonts w:hint="eastAsia" w:ascii="Times New Roman" w:hAnsi="Times New Roman" w:cs="Times New Roman"/>
                <w:color w:val="auto"/>
                <w:sz w:val="18"/>
                <w:szCs w:val="18"/>
                <w:highlight w:val="none"/>
                <w:lang w:val="en-US" w:eastAsia="zh-CN"/>
              </w:rPr>
              <w:t>374</w:t>
            </w:r>
          </w:p>
        </w:tc>
      </w:tr>
    </w:tbl>
    <w:p w14:paraId="35DD3360">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8. 稳健性测试</w:t>
      </w:r>
    </w:p>
    <w:p w14:paraId="33CE1C40">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8.1 稳健性要求</w:t>
      </w:r>
    </w:p>
    <w:p w14:paraId="27CBBAE6">
      <w:pPr>
        <w:keepNext w:val="0"/>
        <w:keepLines w:val="0"/>
        <w:pageBreakBefore w:val="0"/>
        <w:widowControl w:val="0"/>
        <w:shd w:val="clear"/>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稳健性（Robustness）是指PCR反应的条件，包括操作者、试剂盒厂家、PCR设备、PCR反应体系、引物/探针浓度、PCR退火温度等因素发生改变，依然能够获得可接受的定量检测结果。在定量检测过程中，各实验室通常严格执行标准，按标准规定配置PCR反应体系，并在规定的退火温度下进行PCR扩增。但一个标准方法在实施过程中，各实验室会选用不同的操作者、不同厂家生产的荧光PCR试剂盒、不同的荧光PCR仪，进行试样的定量检测，因此需要针对操作者、荧光PCR试剂盒、荧光PCR仪等因素进行方法的稳健性考察。</w:t>
      </w:r>
    </w:p>
    <w:p w14:paraId="71834F32">
      <w:pPr>
        <w:pStyle w:val="4"/>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lang w:val="en-US" w:eastAsia="zh-CN" w:bidi="ar-SA"/>
        </w:rPr>
      </w:pPr>
      <w:r>
        <w:rPr>
          <w:rFonts w:hint="eastAsia" w:ascii="Times New Roman" w:hAnsi="Times New Roman" w:eastAsia="黑体" w:cs="Calibri"/>
          <w:b w:val="0"/>
          <w:bCs/>
          <w:kern w:val="2"/>
          <w:sz w:val="21"/>
          <w:szCs w:val="32"/>
          <w:lang w:val="en-US" w:eastAsia="zh-CN" w:bidi="ar-SA"/>
        </w:rPr>
        <w:t>8.2 稳健性测试</w:t>
      </w:r>
    </w:p>
    <w:p w14:paraId="76AC4986">
      <w:pPr>
        <w:keepNext w:val="0"/>
        <w:keepLines w:val="0"/>
        <w:pageBreakBefore w:val="0"/>
        <w:widowControl w:val="0"/>
        <w:shd w:val="clear"/>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用转基因含量为定量限的样品进行荧光定量PCR方法的稳健性测试。每改变一个因素，进行一次重复实验。根据标准曲线和样品的Ct值，计算各反应样品拷贝数比值（表</w:t>
      </w:r>
      <w:r>
        <w:rPr>
          <w:rFonts w:hint="eastAsia" w:ascii="Times New Roman" w:hAnsi="Times New Roman" w:eastAsia="宋体" w:cs="Times New Roman"/>
          <w:sz w:val="21"/>
          <w:szCs w:val="21"/>
          <w:lang w:val="en-US" w:eastAsia="zh-CN"/>
        </w:rPr>
        <w:t>2-20</w:t>
      </w:r>
      <w:r>
        <w:rPr>
          <w:rFonts w:hint="default" w:ascii="Times New Roman" w:hAnsi="Times New Roman" w:eastAsia="宋体" w:cs="Times New Roman"/>
          <w:sz w:val="21"/>
          <w:szCs w:val="21"/>
        </w:rPr>
        <w:t>）。</w:t>
      </w:r>
    </w:p>
    <w:p w14:paraId="677A3E1E">
      <w:pPr>
        <w:pStyle w:val="22"/>
        <w:shd w:val="clear"/>
        <w:spacing w:line="240" w:lineRule="auto"/>
        <w:ind w:firstLine="363" w:firstLineChars="202"/>
        <w:jc w:val="center"/>
        <w:rPr>
          <w:rFonts w:ascii="Times New Roman" w:eastAsia="仿宋"/>
          <w:b/>
          <w:bCs/>
          <w:kern w:val="2"/>
          <w:szCs w:val="21"/>
          <w:highlight w:val="yellow"/>
        </w:rPr>
      </w:pPr>
      <w:r>
        <w:rPr>
          <w:rFonts w:ascii="Times New Roman" w:hAnsi="Times New Roman" w:eastAsia="黑体" w:cs="Calibri"/>
          <w:kern w:val="2"/>
          <w:sz w:val="18"/>
          <w:szCs w:val="22"/>
          <w:highlight w:val="none"/>
          <w:lang w:val="en-US" w:eastAsia="zh-CN" w:bidi="ar-SA"/>
        </w:rPr>
        <w:t>表</w:t>
      </w:r>
      <w:r>
        <w:rPr>
          <w:rFonts w:hint="eastAsia" w:ascii="Times New Roman" w:eastAsia="黑体" w:cs="Calibri"/>
          <w:kern w:val="2"/>
          <w:sz w:val="18"/>
          <w:szCs w:val="22"/>
          <w:highlight w:val="none"/>
          <w:lang w:val="en-US" w:eastAsia="zh-CN" w:bidi="ar-SA"/>
        </w:rPr>
        <w:t>2-20</w:t>
      </w:r>
      <w:r>
        <w:rPr>
          <w:rFonts w:ascii="Times New Roman" w:hAnsi="Times New Roman" w:eastAsia="黑体" w:cs="Calibri"/>
          <w:kern w:val="2"/>
          <w:sz w:val="18"/>
          <w:szCs w:val="22"/>
          <w:highlight w:val="none"/>
          <w:lang w:val="en-US" w:eastAsia="zh-CN" w:bidi="ar-SA"/>
        </w:rPr>
        <w:t xml:space="preserve"> 稳健性测试结果</w:t>
      </w:r>
    </w:p>
    <w:tbl>
      <w:tblPr>
        <w:tblStyle w:val="16"/>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773"/>
        <w:gridCol w:w="773"/>
        <w:gridCol w:w="775"/>
        <w:gridCol w:w="1118"/>
        <w:gridCol w:w="1241"/>
        <w:gridCol w:w="889"/>
        <w:gridCol w:w="1124"/>
      </w:tblGrid>
      <w:tr w14:paraId="097A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vAlign w:val="center"/>
          </w:tcPr>
          <w:p w14:paraId="205A291F">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因素</w:t>
            </w:r>
          </w:p>
        </w:tc>
        <w:tc>
          <w:tcPr>
            <w:tcW w:w="2321" w:type="dxa"/>
            <w:gridSpan w:val="3"/>
            <w:vAlign w:val="center"/>
          </w:tcPr>
          <w:p w14:paraId="7B1008C7">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1%样品测试结果（%）</w:t>
            </w:r>
          </w:p>
        </w:tc>
        <w:tc>
          <w:tcPr>
            <w:tcW w:w="1118" w:type="dxa"/>
            <w:vMerge w:val="restart"/>
            <w:vAlign w:val="center"/>
          </w:tcPr>
          <w:p w14:paraId="7FD91663">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平均测量值（%）</w:t>
            </w:r>
          </w:p>
        </w:tc>
        <w:tc>
          <w:tcPr>
            <w:tcW w:w="1241" w:type="dxa"/>
            <w:vMerge w:val="restart"/>
            <w:vAlign w:val="center"/>
          </w:tcPr>
          <w:p w14:paraId="2853567E">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相对偏倚</w:t>
            </w:r>
          </w:p>
          <w:p w14:paraId="1EC38111">
            <w:pPr>
              <w:shd w:val="clear"/>
              <w:jc w:val="center"/>
              <w:rPr>
                <w:rFonts w:hint="default" w:ascii="Times New Roman" w:hAnsi="Times New Roman" w:eastAsia="宋体" w:cs="Times New Roman"/>
                <w:b/>
                <w:sz w:val="18"/>
                <w:szCs w:val="18"/>
                <w:highlight w:val="none"/>
              </w:rPr>
            </w:pPr>
            <w:r>
              <w:rPr>
                <w:rFonts w:hint="eastAsia" w:ascii="Times New Roman" w:hAnsi="Times New Roman" w:cs="Times New Roman"/>
                <w:b/>
                <w:i/>
                <w:iCs/>
                <w:sz w:val="18"/>
                <w:szCs w:val="18"/>
                <w:highlight w:val="none"/>
                <w:lang w:eastAsia="zh-CN"/>
              </w:rPr>
              <w:t>bias</w:t>
            </w:r>
            <w:r>
              <w:rPr>
                <w:rFonts w:hint="default" w:ascii="Times New Roman" w:hAnsi="Times New Roman" w:eastAsia="宋体" w:cs="Times New Roman"/>
                <w:b/>
                <w:sz w:val="18"/>
                <w:szCs w:val="18"/>
                <w:highlight w:val="none"/>
                <w:vertAlign w:val="baseline"/>
              </w:rPr>
              <w:t>R</w:t>
            </w:r>
            <w:r>
              <w:rPr>
                <w:rFonts w:hint="default" w:ascii="Times New Roman" w:hAnsi="Times New Roman" w:eastAsia="宋体" w:cs="Times New Roman"/>
                <w:b/>
                <w:sz w:val="18"/>
                <w:szCs w:val="18"/>
                <w:highlight w:val="none"/>
              </w:rPr>
              <w:t>（%）</w:t>
            </w:r>
          </w:p>
        </w:tc>
        <w:tc>
          <w:tcPr>
            <w:tcW w:w="889" w:type="dxa"/>
            <w:vMerge w:val="restart"/>
            <w:vAlign w:val="center"/>
          </w:tcPr>
          <w:p w14:paraId="274562D8">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标准差SD</w:t>
            </w:r>
          </w:p>
        </w:tc>
        <w:tc>
          <w:tcPr>
            <w:tcW w:w="1124" w:type="dxa"/>
            <w:vMerge w:val="restart"/>
            <w:vAlign w:val="center"/>
          </w:tcPr>
          <w:p w14:paraId="76A8E000">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相对标准差RSD（%）</w:t>
            </w:r>
          </w:p>
        </w:tc>
      </w:tr>
      <w:tr w14:paraId="1EA6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vAlign w:val="center"/>
          </w:tcPr>
          <w:p w14:paraId="51438EB8">
            <w:pPr>
              <w:shd w:val="clear"/>
              <w:jc w:val="center"/>
              <w:rPr>
                <w:rFonts w:hint="default" w:ascii="Times New Roman" w:hAnsi="Times New Roman" w:eastAsia="宋体" w:cs="Times New Roman"/>
                <w:bCs/>
                <w:sz w:val="18"/>
                <w:szCs w:val="18"/>
                <w:highlight w:val="none"/>
              </w:rPr>
            </w:pPr>
          </w:p>
        </w:tc>
        <w:tc>
          <w:tcPr>
            <w:tcW w:w="773" w:type="dxa"/>
            <w:vAlign w:val="center"/>
          </w:tcPr>
          <w:p w14:paraId="05FF7B32">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1</w:t>
            </w:r>
          </w:p>
        </w:tc>
        <w:tc>
          <w:tcPr>
            <w:tcW w:w="773" w:type="dxa"/>
            <w:vAlign w:val="center"/>
          </w:tcPr>
          <w:p w14:paraId="32EA4B1C">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2</w:t>
            </w:r>
          </w:p>
        </w:tc>
        <w:tc>
          <w:tcPr>
            <w:tcW w:w="775" w:type="dxa"/>
            <w:vAlign w:val="center"/>
          </w:tcPr>
          <w:p w14:paraId="3AA094D1">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3</w:t>
            </w:r>
          </w:p>
        </w:tc>
        <w:tc>
          <w:tcPr>
            <w:tcW w:w="1118" w:type="dxa"/>
            <w:vMerge w:val="continue"/>
            <w:vAlign w:val="center"/>
          </w:tcPr>
          <w:p w14:paraId="42A3FA05">
            <w:pPr>
              <w:shd w:val="clear"/>
              <w:jc w:val="center"/>
              <w:rPr>
                <w:rFonts w:hint="default" w:ascii="Times New Roman" w:hAnsi="Times New Roman" w:eastAsia="宋体" w:cs="Times New Roman"/>
                <w:bCs/>
                <w:sz w:val="18"/>
                <w:szCs w:val="18"/>
                <w:highlight w:val="none"/>
              </w:rPr>
            </w:pPr>
          </w:p>
        </w:tc>
        <w:tc>
          <w:tcPr>
            <w:tcW w:w="1241" w:type="dxa"/>
            <w:vMerge w:val="continue"/>
            <w:vAlign w:val="center"/>
          </w:tcPr>
          <w:p w14:paraId="12B21433">
            <w:pPr>
              <w:shd w:val="clear"/>
              <w:jc w:val="center"/>
              <w:rPr>
                <w:rFonts w:hint="default" w:ascii="Times New Roman" w:hAnsi="Times New Roman" w:eastAsia="宋体" w:cs="Times New Roman"/>
                <w:bCs/>
                <w:sz w:val="18"/>
                <w:szCs w:val="18"/>
                <w:highlight w:val="none"/>
              </w:rPr>
            </w:pPr>
          </w:p>
        </w:tc>
        <w:tc>
          <w:tcPr>
            <w:tcW w:w="889" w:type="dxa"/>
            <w:vMerge w:val="continue"/>
            <w:vAlign w:val="center"/>
          </w:tcPr>
          <w:p w14:paraId="209AAF25">
            <w:pPr>
              <w:shd w:val="clear"/>
              <w:jc w:val="center"/>
              <w:rPr>
                <w:rFonts w:hint="default" w:ascii="Times New Roman" w:hAnsi="Times New Roman" w:eastAsia="宋体" w:cs="Times New Roman"/>
                <w:bCs/>
                <w:sz w:val="18"/>
                <w:szCs w:val="18"/>
                <w:highlight w:val="none"/>
              </w:rPr>
            </w:pPr>
          </w:p>
        </w:tc>
        <w:tc>
          <w:tcPr>
            <w:tcW w:w="1124" w:type="dxa"/>
            <w:vMerge w:val="continue"/>
            <w:vAlign w:val="center"/>
          </w:tcPr>
          <w:p w14:paraId="6036844D">
            <w:pPr>
              <w:shd w:val="clear"/>
              <w:jc w:val="center"/>
              <w:rPr>
                <w:rFonts w:hint="default" w:ascii="Times New Roman" w:hAnsi="Times New Roman" w:eastAsia="宋体" w:cs="Times New Roman"/>
                <w:bCs/>
                <w:sz w:val="18"/>
                <w:szCs w:val="18"/>
                <w:highlight w:val="none"/>
              </w:rPr>
            </w:pPr>
          </w:p>
        </w:tc>
      </w:tr>
      <w:tr w14:paraId="64CE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14:paraId="128A7D03">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其他操作者</w:t>
            </w:r>
          </w:p>
        </w:tc>
        <w:tc>
          <w:tcPr>
            <w:tcW w:w="773" w:type="dxa"/>
            <w:shd w:val="clear" w:color="auto" w:fill="auto"/>
            <w:vAlign w:val="bottom"/>
          </w:tcPr>
          <w:p w14:paraId="22B7E576">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1.11</w:t>
            </w:r>
          </w:p>
        </w:tc>
        <w:tc>
          <w:tcPr>
            <w:tcW w:w="773" w:type="dxa"/>
            <w:shd w:val="clear" w:color="auto" w:fill="auto"/>
            <w:vAlign w:val="bottom"/>
          </w:tcPr>
          <w:p w14:paraId="23AB67AB">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1.09</w:t>
            </w:r>
          </w:p>
        </w:tc>
        <w:tc>
          <w:tcPr>
            <w:tcW w:w="775" w:type="dxa"/>
            <w:shd w:val="clear" w:color="auto" w:fill="auto"/>
            <w:vAlign w:val="bottom"/>
          </w:tcPr>
          <w:p w14:paraId="2481866F">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1.25</w:t>
            </w:r>
          </w:p>
        </w:tc>
        <w:tc>
          <w:tcPr>
            <w:tcW w:w="1118" w:type="dxa"/>
            <w:shd w:val="clear" w:color="auto" w:fill="auto"/>
            <w:vAlign w:val="bottom"/>
          </w:tcPr>
          <w:p w14:paraId="7510FD93">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1.15</w:t>
            </w:r>
          </w:p>
        </w:tc>
        <w:tc>
          <w:tcPr>
            <w:tcW w:w="1241" w:type="dxa"/>
            <w:shd w:val="clear" w:color="auto" w:fill="auto"/>
            <w:vAlign w:val="bottom"/>
          </w:tcPr>
          <w:p w14:paraId="2F178A29">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w:t>
            </w:r>
            <w:r>
              <w:rPr>
                <w:rFonts w:hint="eastAsia" w:ascii="Times New Roman" w:hAnsi="Times New Roman" w:eastAsia="宋体" w:cs="Times New Roman"/>
                <w:i w:val="0"/>
                <w:iCs w:val="0"/>
                <w:color w:val="000000"/>
                <w:kern w:val="0"/>
                <w:sz w:val="20"/>
                <w:szCs w:val="20"/>
                <w:highlight w:val="none"/>
                <w:u w:val="none"/>
                <w:lang w:val="en-US" w:eastAsia="zh-CN" w:bidi="ar"/>
              </w:rPr>
              <w:t>.00</w:t>
            </w:r>
          </w:p>
        </w:tc>
        <w:tc>
          <w:tcPr>
            <w:tcW w:w="889" w:type="dxa"/>
            <w:shd w:val="clear" w:color="auto" w:fill="auto"/>
            <w:vAlign w:val="bottom"/>
          </w:tcPr>
          <w:p w14:paraId="7031F872">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0.09</w:t>
            </w:r>
          </w:p>
        </w:tc>
        <w:tc>
          <w:tcPr>
            <w:tcW w:w="1124" w:type="dxa"/>
            <w:shd w:val="clear" w:color="auto" w:fill="auto"/>
            <w:vAlign w:val="bottom"/>
          </w:tcPr>
          <w:p w14:paraId="76286092">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7.58</w:t>
            </w:r>
          </w:p>
        </w:tc>
      </w:tr>
      <w:tr w14:paraId="527B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14:paraId="570C2986">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其他荧光定量</w:t>
            </w:r>
          </w:p>
          <w:p w14:paraId="43886FA3">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PCR试剂盒</w:t>
            </w:r>
          </w:p>
        </w:tc>
        <w:tc>
          <w:tcPr>
            <w:tcW w:w="773" w:type="dxa"/>
            <w:shd w:val="clear" w:color="auto" w:fill="auto"/>
            <w:vAlign w:val="bottom"/>
          </w:tcPr>
          <w:p w14:paraId="74EB7BBE">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1.19</w:t>
            </w:r>
          </w:p>
        </w:tc>
        <w:tc>
          <w:tcPr>
            <w:tcW w:w="773" w:type="dxa"/>
            <w:shd w:val="clear" w:color="auto" w:fill="auto"/>
            <w:vAlign w:val="bottom"/>
          </w:tcPr>
          <w:p w14:paraId="3451C83C">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1.16</w:t>
            </w:r>
          </w:p>
        </w:tc>
        <w:tc>
          <w:tcPr>
            <w:tcW w:w="775" w:type="dxa"/>
            <w:shd w:val="clear" w:color="auto" w:fill="auto"/>
            <w:vAlign w:val="bottom"/>
          </w:tcPr>
          <w:p w14:paraId="6975B34C">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1.08</w:t>
            </w:r>
          </w:p>
        </w:tc>
        <w:tc>
          <w:tcPr>
            <w:tcW w:w="1118" w:type="dxa"/>
            <w:shd w:val="clear" w:color="auto" w:fill="auto"/>
            <w:vAlign w:val="bottom"/>
          </w:tcPr>
          <w:p w14:paraId="7E38D5D0">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1.14</w:t>
            </w:r>
          </w:p>
        </w:tc>
        <w:tc>
          <w:tcPr>
            <w:tcW w:w="1241" w:type="dxa"/>
            <w:shd w:val="clear" w:color="auto" w:fill="auto"/>
            <w:vAlign w:val="bottom"/>
          </w:tcPr>
          <w:p w14:paraId="1995038B">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r>
              <w:rPr>
                <w:rFonts w:hint="eastAsia" w:ascii="Times New Roman" w:hAnsi="Times New Roman" w:eastAsia="宋体" w:cs="Times New Roman"/>
                <w:i w:val="0"/>
                <w:iCs w:val="0"/>
                <w:color w:val="000000"/>
                <w:kern w:val="0"/>
                <w:sz w:val="20"/>
                <w:szCs w:val="20"/>
                <w:highlight w:val="none"/>
                <w:u w:val="none"/>
                <w:lang w:val="en-US" w:eastAsia="zh-CN" w:bidi="ar"/>
              </w:rPr>
              <w:t>.00</w:t>
            </w:r>
          </w:p>
        </w:tc>
        <w:tc>
          <w:tcPr>
            <w:tcW w:w="889" w:type="dxa"/>
            <w:shd w:val="clear" w:color="auto" w:fill="auto"/>
            <w:vAlign w:val="bottom"/>
          </w:tcPr>
          <w:p w14:paraId="24C295EF">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0.06</w:t>
            </w:r>
          </w:p>
        </w:tc>
        <w:tc>
          <w:tcPr>
            <w:tcW w:w="1124" w:type="dxa"/>
            <w:shd w:val="clear" w:color="auto" w:fill="auto"/>
            <w:vAlign w:val="bottom"/>
          </w:tcPr>
          <w:p w14:paraId="259E050E">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4.90</w:t>
            </w:r>
          </w:p>
        </w:tc>
      </w:tr>
      <w:tr w14:paraId="6C59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14:paraId="11B2D189">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其他荧光定量</w:t>
            </w:r>
          </w:p>
          <w:p w14:paraId="78029BA9">
            <w:pPr>
              <w:shd w:val="clea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PCR仪</w:t>
            </w:r>
          </w:p>
        </w:tc>
        <w:tc>
          <w:tcPr>
            <w:tcW w:w="773" w:type="dxa"/>
            <w:shd w:val="clear" w:color="auto" w:fill="auto"/>
            <w:vAlign w:val="bottom"/>
          </w:tcPr>
          <w:p w14:paraId="4D3A70A5">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1.09</w:t>
            </w:r>
          </w:p>
        </w:tc>
        <w:tc>
          <w:tcPr>
            <w:tcW w:w="773" w:type="dxa"/>
            <w:shd w:val="clear" w:color="auto" w:fill="auto"/>
            <w:vAlign w:val="bottom"/>
          </w:tcPr>
          <w:p w14:paraId="5403A599">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1.23</w:t>
            </w:r>
          </w:p>
        </w:tc>
        <w:tc>
          <w:tcPr>
            <w:tcW w:w="775" w:type="dxa"/>
            <w:shd w:val="clear" w:color="auto" w:fill="auto"/>
            <w:vAlign w:val="bottom"/>
          </w:tcPr>
          <w:p w14:paraId="2F844353">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1.22</w:t>
            </w:r>
          </w:p>
        </w:tc>
        <w:tc>
          <w:tcPr>
            <w:tcW w:w="1118" w:type="dxa"/>
            <w:shd w:val="clear" w:color="auto" w:fill="auto"/>
            <w:vAlign w:val="bottom"/>
          </w:tcPr>
          <w:p w14:paraId="579FEDCE">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1.18</w:t>
            </w:r>
          </w:p>
        </w:tc>
        <w:tc>
          <w:tcPr>
            <w:tcW w:w="1241" w:type="dxa"/>
            <w:shd w:val="clear" w:color="auto" w:fill="auto"/>
            <w:vAlign w:val="bottom"/>
          </w:tcPr>
          <w:p w14:paraId="15C30C1D">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w:t>
            </w:r>
            <w:r>
              <w:rPr>
                <w:rFonts w:hint="eastAsia" w:ascii="Times New Roman" w:hAnsi="Times New Roman" w:eastAsia="宋体" w:cs="Times New Roman"/>
                <w:i w:val="0"/>
                <w:iCs w:val="0"/>
                <w:color w:val="000000"/>
                <w:kern w:val="0"/>
                <w:sz w:val="20"/>
                <w:szCs w:val="20"/>
                <w:highlight w:val="none"/>
                <w:u w:val="none"/>
                <w:lang w:val="en-US" w:eastAsia="zh-CN" w:bidi="ar"/>
              </w:rPr>
              <w:t>.00</w:t>
            </w:r>
          </w:p>
        </w:tc>
        <w:tc>
          <w:tcPr>
            <w:tcW w:w="889" w:type="dxa"/>
            <w:shd w:val="clear" w:color="auto" w:fill="auto"/>
            <w:vAlign w:val="bottom"/>
          </w:tcPr>
          <w:p w14:paraId="4AAAB7C5">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0.08</w:t>
            </w:r>
          </w:p>
        </w:tc>
        <w:tc>
          <w:tcPr>
            <w:tcW w:w="1124" w:type="dxa"/>
            <w:shd w:val="clear" w:color="auto" w:fill="auto"/>
            <w:vAlign w:val="bottom"/>
          </w:tcPr>
          <w:p w14:paraId="6FDB1DF8">
            <w:pPr>
              <w:keepNext w:val="0"/>
              <w:keepLines w:val="0"/>
              <w:widowControl/>
              <w:suppressLineNumbers w:val="0"/>
              <w:shd w:val="clear"/>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6.37</w:t>
            </w:r>
          </w:p>
        </w:tc>
      </w:tr>
    </w:tbl>
    <w:p w14:paraId="28DF321F">
      <w:pPr>
        <w:shd w:val="clear"/>
        <w:ind w:firstLine="641"/>
        <w:jc w:val="left"/>
        <w:rPr>
          <w:rFonts w:eastAsia="仿宋"/>
          <w:sz w:val="32"/>
          <w:szCs w:val="32"/>
          <w:highlight w:val="yellow"/>
        </w:rPr>
      </w:pPr>
    </w:p>
    <w:p w14:paraId="4C7FAD8D">
      <w:pPr>
        <w:pStyle w:val="4"/>
        <w:shd w:val="clear"/>
        <w:bidi w:val="0"/>
        <w:spacing w:before="50" w:beforeLines="50" w:after="50" w:afterLines="50" w:line="240" w:lineRule="auto"/>
        <w:ind w:firstLine="420" w:firstLineChars="200"/>
        <w:rPr>
          <w:rFonts w:hint="eastAsia" w:ascii="Times New Roman" w:hAnsi="Times New Roman" w:eastAsia="黑体" w:cs="Calibri"/>
          <w:b w:val="0"/>
          <w:bCs/>
          <w:kern w:val="2"/>
          <w:sz w:val="21"/>
          <w:szCs w:val="32"/>
          <w:highlight w:val="none"/>
          <w:lang w:val="en-US" w:eastAsia="zh-CN" w:bidi="ar-SA"/>
        </w:rPr>
      </w:pPr>
      <w:r>
        <w:rPr>
          <w:rFonts w:hint="eastAsia" w:ascii="Times New Roman" w:hAnsi="Times New Roman" w:eastAsia="黑体" w:cs="Calibri"/>
          <w:b w:val="0"/>
          <w:bCs/>
          <w:kern w:val="2"/>
          <w:sz w:val="21"/>
          <w:szCs w:val="32"/>
          <w:highlight w:val="none"/>
          <w:lang w:val="en-US" w:eastAsia="zh-CN" w:bidi="ar-SA"/>
        </w:rPr>
        <w:t>8.3 稳健性结果判定</w:t>
      </w:r>
    </w:p>
    <w:p w14:paraId="0706394C">
      <w:pPr>
        <w:keepNext w:val="0"/>
        <w:keepLines w:val="0"/>
        <w:pageBreakBefore w:val="0"/>
        <w:widowControl w:val="0"/>
        <w:shd w:val="clear"/>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分析各重复实验检测数据的正确度</w:t>
      </w:r>
      <w:r>
        <w:rPr>
          <w:rFonts w:hint="eastAsia" w:ascii="Times New Roman" w:hAnsi="Times New Roman" w:eastAsia="宋体" w:cs="Times New Roman"/>
          <w:sz w:val="21"/>
          <w:szCs w:val="21"/>
          <w:lang w:eastAsia="zh-CN"/>
        </w:rPr>
        <w:t>bias</w:t>
      </w:r>
      <w:r>
        <w:rPr>
          <w:rFonts w:hint="default" w:ascii="Times New Roman" w:hAnsi="Times New Roman" w:eastAsia="宋体" w:cs="Times New Roman"/>
          <w:sz w:val="21"/>
          <w:szCs w:val="21"/>
        </w:rPr>
        <w:t>R和精确度RSD（表</w:t>
      </w:r>
      <w:r>
        <w:rPr>
          <w:rFonts w:hint="eastAsia" w:ascii="Times New Roman" w:hAnsi="Times New Roman" w:eastAsia="宋体" w:cs="Times New Roman"/>
          <w:sz w:val="21"/>
          <w:szCs w:val="21"/>
          <w:lang w:val="en-US" w:eastAsia="zh-CN"/>
        </w:rPr>
        <w:t>2-20</w:t>
      </w:r>
      <w:r>
        <w:rPr>
          <w:rFonts w:hint="default" w:ascii="Times New Roman" w:hAnsi="Times New Roman" w:eastAsia="宋体" w:cs="Times New Roman"/>
          <w:sz w:val="21"/>
          <w:szCs w:val="21"/>
        </w:rPr>
        <w:t>）。计算方法同6.3.1和6.3.2。其他操作者检测数据的正确度</w:t>
      </w:r>
      <w:r>
        <w:rPr>
          <w:rFonts w:hint="eastAsia" w:ascii="Times New Roman" w:hAnsi="Times New Roman" w:eastAsia="宋体" w:cs="Times New Roman"/>
          <w:sz w:val="21"/>
          <w:szCs w:val="21"/>
          <w:lang w:eastAsia="zh-CN"/>
        </w:rPr>
        <w:t>bias</w:t>
      </w:r>
      <w:r>
        <w:rPr>
          <w:rFonts w:hint="default" w:ascii="Times New Roman" w:hAnsi="Times New Roman" w:eastAsia="宋体" w:cs="Times New Roman"/>
          <w:sz w:val="21"/>
          <w:szCs w:val="21"/>
        </w:rPr>
        <w:t>R为</w:t>
      </w:r>
      <w:r>
        <w:rPr>
          <w:rFonts w:hint="eastAsia" w:ascii="Times New Roman" w:hAnsi="Times New Roman" w:eastAsia="宋体" w:cs="Times New Roman"/>
          <w:sz w:val="21"/>
          <w:szCs w:val="21"/>
          <w:lang w:val="en-US" w:eastAsia="zh-CN"/>
        </w:rPr>
        <w:t>15.00</w:t>
      </w:r>
      <w:r>
        <w:rPr>
          <w:rFonts w:hint="default" w:ascii="Times New Roman" w:hAnsi="Times New Roman" w:eastAsia="宋体" w:cs="Times New Roman"/>
          <w:sz w:val="21"/>
          <w:szCs w:val="21"/>
        </w:rPr>
        <w:t>%，精密度RSD为</w:t>
      </w:r>
      <w:r>
        <w:rPr>
          <w:rFonts w:hint="eastAsia" w:ascii="Times New Roman" w:hAnsi="Times New Roman" w:eastAsia="宋体" w:cs="Times New Roman"/>
          <w:sz w:val="21"/>
          <w:szCs w:val="21"/>
          <w:lang w:val="en-US" w:eastAsia="zh-CN"/>
        </w:rPr>
        <w:t>7.58</w:t>
      </w:r>
      <w:r>
        <w:rPr>
          <w:rFonts w:hint="default" w:ascii="Times New Roman" w:hAnsi="Times New Roman" w:eastAsia="宋体" w:cs="Times New Roman"/>
          <w:sz w:val="21"/>
          <w:szCs w:val="21"/>
        </w:rPr>
        <w:t>%，；选用其他荧光定量PCR试剂盒，检测数据的正确度</w:t>
      </w:r>
      <w:r>
        <w:rPr>
          <w:rFonts w:hint="eastAsia" w:ascii="Times New Roman" w:hAnsi="Times New Roman" w:eastAsia="宋体" w:cs="Times New Roman"/>
          <w:sz w:val="21"/>
          <w:szCs w:val="21"/>
          <w:lang w:eastAsia="zh-CN"/>
        </w:rPr>
        <w:t>bias</w:t>
      </w:r>
      <w:r>
        <w:rPr>
          <w:rFonts w:hint="default" w:ascii="Times New Roman" w:hAnsi="Times New Roman" w:eastAsia="宋体" w:cs="Times New Roman"/>
          <w:sz w:val="21"/>
          <w:szCs w:val="21"/>
        </w:rPr>
        <w:t>R为</w:t>
      </w:r>
      <w:r>
        <w:rPr>
          <w:rFonts w:hint="eastAsia" w:ascii="Times New Roman" w:hAnsi="Times New Roman" w:eastAsia="宋体" w:cs="Times New Roman"/>
          <w:sz w:val="21"/>
          <w:szCs w:val="21"/>
          <w:lang w:val="en-US" w:eastAsia="zh-CN"/>
        </w:rPr>
        <w:t>14.00</w:t>
      </w:r>
      <w:r>
        <w:rPr>
          <w:rFonts w:hint="default" w:ascii="Times New Roman" w:hAnsi="Times New Roman" w:eastAsia="宋体" w:cs="Times New Roman"/>
          <w:sz w:val="21"/>
          <w:szCs w:val="21"/>
        </w:rPr>
        <w:t>%，精密度RSD为</w:t>
      </w:r>
      <w:r>
        <w:rPr>
          <w:rFonts w:hint="eastAsia" w:ascii="Times New Roman" w:hAnsi="Times New Roman" w:eastAsia="宋体" w:cs="Times New Roman"/>
          <w:sz w:val="21"/>
          <w:szCs w:val="21"/>
          <w:lang w:val="en-US" w:eastAsia="zh-CN"/>
        </w:rPr>
        <w:t>4.90</w:t>
      </w:r>
      <w:r>
        <w:rPr>
          <w:rFonts w:hint="default" w:ascii="Times New Roman" w:hAnsi="Times New Roman" w:eastAsia="宋体" w:cs="Times New Roman"/>
          <w:sz w:val="21"/>
          <w:szCs w:val="21"/>
        </w:rPr>
        <w:t>%；选用其他荧光定量PCR仪，检测数据的正确度</w:t>
      </w:r>
      <w:r>
        <w:rPr>
          <w:rFonts w:hint="eastAsia" w:ascii="Times New Roman" w:hAnsi="Times New Roman" w:eastAsia="宋体" w:cs="Times New Roman"/>
          <w:sz w:val="21"/>
          <w:szCs w:val="21"/>
          <w:lang w:eastAsia="zh-CN"/>
        </w:rPr>
        <w:t>bias</w:t>
      </w:r>
      <w:r>
        <w:rPr>
          <w:rFonts w:hint="default" w:ascii="Times New Roman" w:hAnsi="Times New Roman" w:eastAsia="宋体" w:cs="Times New Roman"/>
          <w:sz w:val="21"/>
          <w:szCs w:val="21"/>
        </w:rPr>
        <w:t>R为</w:t>
      </w:r>
      <w:r>
        <w:rPr>
          <w:rFonts w:hint="eastAsia" w:ascii="Times New Roman" w:hAnsi="Times New Roman" w:eastAsia="宋体" w:cs="Times New Roman"/>
          <w:sz w:val="21"/>
          <w:szCs w:val="21"/>
          <w:lang w:val="en-US" w:eastAsia="zh-CN"/>
        </w:rPr>
        <w:t>18.00</w:t>
      </w:r>
      <w:r>
        <w:rPr>
          <w:rFonts w:hint="default" w:ascii="Times New Roman" w:hAnsi="Times New Roman" w:eastAsia="宋体" w:cs="Times New Roman"/>
          <w:sz w:val="21"/>
          <w:szCs w:val="21"/>
        </w:rPr>
        <w:t>%，精密度RSD为</w:t>
      </w:r>
      <w:r>
        <w:rPr>
          <w:rFonts w:hint="eastAsia" w:ascii="Times New Roman" w:hAnsi="Times New Roman" w:eastAsia="宋体" w:cs="Times New Roman"/>
          <w:sz w:val="21"/>
          <w:szCs w:val="21"/>
          <w:lang w:val="en-US" w:eastAsia="zh-CN"/>
        </w:rPr>
        <w:t>6.37</w:t>
      </w:r>
      <w:r>
        <w:rPr>
          <w:rFonts w:hint="default" w:ascii="Times New Roman" w:hAnsi="Times New Roman" w:eastAsia="宋体" w:cs="Times New Roman"/>
          <w:sz w:val="21"/>
          <w:szCs w:val="21"/>
        </w:rPr>
        <w:t>%。结果表明，在实际检测过程中，改变操作者、荧光定量PCR试剂盒、荧光定量PCR仪等因素，</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转化体实时荧光PCR方法检测结果的正确度和精确度均满足要求，定量结果准确可靠，具有良好的稳健性。</w:t>
      </w:r>
    </w:p>
    <w:p w14:paraId="36E0BEFD">
      <w:pPr>
        <w:pStyle w:val="3"/>
        <w:bidi w:val="0"/>
        <w:spacing w:before="50" w:after="50" w:line="240" w:lineRule="auto"/>
        <w:ind w:firstLine="0" w:firstLineChars="0"/>
        <w:rPr>
          <w:rFonts w:ascii="Times New Roman" w:hAnsi="Times New Roman" w:eastAsia="黑体" w:cs="Calibri"/>
          <w:b w:val="0"/>
          <w:sz w:val="21"/>
          <w:highlight w:val="none"/>
        </w:rPr>
      </w:pPr>
      <w:bookmarkStart w:id="25" w:name="_Toc11315"/>
      <w:r>
        <w:rPr>
          <w:rFonts w:hint="eastAsia" w:ascii="Times New Roman" w:hAnsi="Times New Roman" w:eastAsia="黑体" w:cs="Calibri"/>
          <w:b w:val="0"/>
          <w:sz w:val="21"/>
          <w:highlight w:val="none"/>
          <w:lang w:val="en-US" w:eastAsia="zh-CN"/>
        </w:rPr>
        <w:t>方法三、</w:t>
      </w:r>
      <w:r>
        <w:rPr>
          <w:rFonts w:ascii="Times New Roman" w:hAnsi="Times New Roman" w:eastAsia="黑体" w:cs="Calibri"/>
          <w:b w:val="0"/>
          <w:sz w:val="21"/>
          <w:highlight w:val="none"/>
        </w:rPr>
        <w:t>抗虫耐除草剂玉米</w:t>
      </w:r>
      <w:r>
        <w:rPr>
          <w:rFonts w:hint="eastAsia" w:eastAsia="黑体" w:cs="Calibri"/>
          <w:b w:val="0"/>
          <w:sz w:val="21"/>
          <w:highlight w:val="none"/>
          <w:lang w:eastAsia="zh-CN"/>
        </w:rPr>
        <w:t>QY2569-42</w:t>
      </w:r>
      <w:r>
        <w:rPr>
          <w:rFonts w:ascii="Times New Roman" w:hAnsi="Times New Roman" w:eastAsia="黑体" w:cs="Calibri"/>
          <w:b w:val="0"/>
          <w:sz w:val="21"/>
          <w:highlight w:val="none"/>
        </w:rPr>
        <w:t>转化体特异性普通PCR定性方法建立</w:t>
      </w:r>
      <w:bookmarkEnd w:id="25"/>
    </w:p>
    <w:p w14:paraId="4197F309">
      <w:pPr>
        <w:pStyle w:val="4"/>
        <w:bidi w:val="0"/>
        <w:spacing w:before="50" w:beforeLines="50" w:after="50" w:afterLines="50" w:line="240" w:lineRule="auto"/>
        <w:ind w:firstLine="420" w:firstLineChars="200"/>
        <w:rPr>
          <w:rFonts w:hint="eastAsia" w:ascii="Times New Roman" w:hAnsi="Times New Roman" w:eastAsia="黑体" w:cs="Calibri"/>
          <w:b w:val="0"/>
          <w:sz w:val="21"/>
          <w:lang w:eastAsia="zh-CN"/>
        </w:rPr>
      </w:pPr>
      <w:r>
        <w:rPr>
          <w:rFonts w:ascii="Times New Roman" w:hAnsi="Times New Roman" w:eastAsia="黑体" w:cs="Calibri"/>
          <w:b w:val="0"/>
          <w:sz w:val="21"/>
        </w:rPr>
        <w:t>1. 引物设计与</w:t>
      </w:r>
      <w:r>
        <w:rPr>
          <w:rFonts w:hint="eastAsia" w:ascii="Times New Roman" w:hAnsi="Times New Roman" w:eastAsia="黑体" w:cs="Calibri"/>
          <w:b w:val="0"/>
          <w:sz w:val="21"/>
          <w:lang w:val="en-US" w:eastAsia="zh-CN"/>
        </w:rPr>
        <w:t>筛选</w:t>
      </w:r>
    </w:p>
    <w:p w14:paraId="6C3F8878">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1.1 引物设计</w:t>
      </w:r>
    </w:p>
    <w:p w14:paraId="1C68054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Times New Roman"/>
          <w:szCs w:val="22"/>
        </w:rPr>
      </w:pPr>
      <w:r>
        <w:rPr>
          <w:rFonts w:hint="eastAsia" w:ascii="Times New Roman" w:hAnsi="Times New Roman" w:cs="Times New Roman"/>
          <w:szCs w:val="22"/>
        </w:rPr>
        <w:t>根据研发者提供的转基因玉米</w:t>
      </w:r>
      <w:r>
        <w:rPr>
          <w:rFonts w:hint="eastAsia" w:cs="Times New Roman"/>
          <w:szCs w:val="22"/>
          <w:lang w:eastAsia="zh-CN"/>
        </w:rPr>
        <w:t>QY2569-42</w:t>
      </w:r>
      <w:r>
        <w:rPr>
          <w:rFonts w:hint="eastAsia" w:ascii="Times New Roman" w:hAnsi="Times New Roman" w:cs="Times New Roman"/>
          <w:szCs w:val="22"/>
        </w:rPr>
        <w:t>外源插入序列及其5'端和3'端侧翼序列信息，应用引物设计软件Primer Premier 5，综合考虑核苷酸序列GC含量和引物Tm值，分别设计多个转化体特异引物，引物序列信息见</w:t>
      </w:r>
      <w:r>
        <w:rPr>
          <w:rFonts w:hint="eastAsia" w:ascii="Times New Roman" w:hAnsi="Times New Roman" w:cs="Times New Roman"/>
          <w:szCs w:val="22"/>
        </w:rPr>
        <w:fldChar w:fldCharType="begin"/>
      </w:r>
      <w:r>
        <w:rPr>
          <w:rFonts w:hint="eastAsia" w:ascii="Times New Roman" w:hAnsi="Times New Roman" w:cs="Times New Roman"/>
          <w:szCs w:val="22"/>
        </w:rPr>
        <w:instrText xml:space="preserve"> REF _Ref86849238 \h  \* MERGEFORMAT </w:instrText>
      </w:r>
      <w:r>
        <w:rPr>
          <w:rFonts w:hint="eastAsia" w:ascii="Times New Roman" w:hAnsi="Times New Roman" w:cs="Times New Roman"/>
          <w:szCs w:val="22"/>
        </w:rPr>
        <w:fldChar w:fldCharType="separate"/>
      </w:r>
      <w:r>
        <w:rPr>
          <w:rFonts w:hint="eastAsia" w:ascii="Times New Roman" w:hAnsi="Times New Roman" w:cs="Times New Roman"/>
          <w:szCs w:val="22"/>
        </w:rPr>
        <w:t>表</w:t>
      </w:r>
      <w:r>
        <w:rPr>
          <w:rFonts w:hint="eastAsia" w:ascii="Times New Roman" w:hAnsi="Times New Roman" w:cs="Times New Roman"/>
          <w:szCs w:val="22"/>
        </w:rPr>
        <w:fldChar w:fldCharType="end"/>
      </w:r>
      <w:r>
        <w:rPr>
          <w:rFonts w:hint="eastAsia" w:cs="Times New Roman"/>
          <w:szCs w:val="22"/>
          <w:lang w:val="en-US" w:eastAsia="zh-CN"/>
        </w:rPr>
        <w:t>2-21</w:t>
      </w:r>
      <w:r>
        <w:rPr>
          <w:rFonts w:hint="eastAsia" w:ascii="Times New Roman" w:hAnsi="Times New Roman" w:cs="Times New Roman"/>
          <w:szCs w:val="22"/>
        </w:rPr>
        <w:t>。根据《转基因植物及其产品成分检测定性PCR方法制定指南》（</w:t>
      </w:r>
      <w:r>
        <w:rPr>
          <w:rFonts w:hint="eastAsia" w:cs="Times New Roman"/>
          <w:szCs w:val="22"/>
          <w:lang w:eastAsia="zh-CN"/>
        </w:rPr>
        <w:t>农业部2259号公告—4—2015</w:t>
      </w:r>
      <w:r>
        <w:rPr>
          <w:rFonts w:hint="eastAsia" w:ascii="Times New Roman" w:hAnsi="Times New Roman" w:cs="Times New Roman"/>
          <w:szCs w:val="22"/>
        </w:rPr>
        <w:t>）标准的要求，定性PCR产物长度宜为120 bp~300 bp，选择</w:t>
      </w:r>
      <w:r>
        <w:rPr>
          <w:rFonts w:hint="eastAsia" w:ascii="Times New Roman" w:hAnsi="Times New Roman" w:cs="Times New Roman"/>
          <w:szCs w:val="22"/>
          <w:lang w:val="en-US" w:eastAsia="zh-CN"/>
        </w:rPr>
        <w:t>1</w:t>
      </w:r>
      <w:r>
        <w:rPr>
          <w:rFonts w:hint="eastAsia" w:cs="Times New Roman"/>
          <w:szCs w:val="22"/>
          <w:lang w:val="en-US" w:eastAsia="zh-CN"/>
        </w:rPr>
        <w:t>0</w:t>
      </w:r>
      <w:r>
        <w:rPr>
          <w:rFonts w:hint="eastAsia" w:ascii="Times New Roman" w:hAnsi="Times New Roman" w:cs="Times New Roman"/>
          <w:szCs w:val="22"/>
        </w:rPr>
        <w:t>对引物组合进行测试，如表</w:t>
      </w:r>
      <w:r>
        <w:rPr>
          <w:rFonts w:hint="eastAsia" w:cs="Times New Roman"/>
          <w:szCs w:val="22"/>
          <w:lang w:val="en-US" w:eastAsia="zh-CN"/>
        </w:rPr>
        <w:t>2-21</w:t>
      </w:r>
      <w:r>
        <w:rPr>
          <w:rFonts w:hint="eastAsia" w:ascii="Times New Roman" w:hAnsi="Times New Roman" w:cs="Times New Roman"/>
          <w:szCs w:val="22"/>
        </w:rPr>
        <w:t>所示。</w:t>
      </w:r>
    </w:p>
    <w:p w14:paraId="35DA59B6">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2-21</w:t>
      </w:r>
      <w:r>
        <w:rPr>
          <w:rFonts w:ascii="Times New Roman" w:hAnsi="Times New Roman" w:eastAsia="黑体" w:cs="Calibri"/>
          <w:sz w:val="18"/>
          <w:szCs w:val="22"/>
        </w:rPr>
        <w:t xml:space="preserve"> 转基因玉米</w:t>
      </w:r>
      <w:r>
        <w:rPr>
          <w:rFonts w:hint="eastAsia" w:ascii="Times New Roman" w:hAnsi="Times New Roman" w:eastAsia="黑体" w:cs="Calibri"/>
          <w:sz w:val="18"/>
          <w:szCs w:val="22"/>
          <w:lang w:eastAsia="zh-CN"/>
        </w:rPr>
        <w:t>QY2569-42</w:t>
      </w:r>
      <w:r>
        <w:rPr>
          <w:rFonts w:ascii="Times New Roman" w:hAnsi="Times New Roman" w:eastAsia="黑体" w:cs="Calibri"/>
          <w:sz w:val="18"/>
          <w:szCs w:val="22"/>
        </w:rPr>
        <w:t>定性PCR检测引物信息</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4971"/>
        <w:gridCol w:w="2244"/>
      </w:tblGrid>
      <w:tr w14:paraId="0D23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9" w:type="dxa"/>
            <w:vAlign w:val="center"/>
          </w:tcPr>
          <w:p w14:paraId="415C41B5">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eastAsia="zh-CN"/>
              </w:rPr>
              <w:t>编号</w:t>
            </w:r>
          </w:p>
        </w:tc>
        <w:tc>
          <w:tcPr>
            <w:tcW w:w="4971" w:type="dxa"/>
            <w:vAlign w:val="center"/>
          </w:tcPr>
          <w:p w14:paraId="7928E9F4">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引物</w:t>
            </w:r>
            <w:r>
              <w:rPr>
                <w:rFonts w:hint="default" w:ascii="Times New Roman" w:hAnsi="Times New Roman" w:eastAsia="宋体" w:cs="Times New Roman"/>
                <w:b/>
                <w:bCs/>
                <w:sz w:val="18"/>
                <w:szCs w:val="18"/>
                <w:lang w:eastAsia="zh-CN"/>
              </w:rPr>
              <w:t>名称和</w:t>
            </w:r>
            <w:r>
              <w:rPr>
                <w:rFonts w:hint="default" w:ascii="Times New Roman" w:hAnsi="Times New Roman" w:eastAsia="宋体" w:cs="Times New Roman"/>
                <w:b/>
                <w:bCs/>
                <w:sz w:val="18"/>
                <w:szCs w:val="18"/>
              </w:rPr>
              <w:t>序列（5'-3'）</w:t>
            </w:r>
          </w:p>
        </w:tc>
        <w:tc>
          <w:tcPr>
            <w:tcW w:w="2244" w:type="dxa"/>
            <w:vAlign w:val="center"/>
          </w:tcPr>
          <w:p w14:paraId="38021B94">
            <w:pPr>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rPr>
              <w:t>扩增片段长度</w:t>
            </w:r>
            <w:r>
              <w:rPr>
                <w:rFonts w:hint="default" w:ascii="Times New Roman" w:hAnsi="Times New Roman" w:eastAsia="宋体" w:cs="Times New Roman"/>
                <w:b/>
                <w:bCs/>
                <w:sz w:val="18"/>
                <w:szCs w:val="18"/>
                <w:lang w:eastAsia="zh-CN"/>
              </w:rPr>
              <w:t>（</w:t>
            </w:r>
            <w:r>
              <w:rPr>
                <w:rFonts w:hint="default" w:ascii="Times New Roman" w:hAnsi="Times New Roman" w:eastAsia="宋体" w:cs="Times New Roman"/>
                <w:b/>
                <w:bCs/>
                <w:sz w:val="18"/>
                <w:szCs w:val="18"/>
                <w:lang w:val="en-US" w:eastAsia="zh-CN"/>
              </w:rPr>
              <w:t>bp</w:t>
            </w:r>
            <w:r>
              <w:rPr>
                <w:rFonts w:hint="default" w:ascii="Times New Roman" w:hAnsi="Times New Roman" w:eastAsia="宋体" w:cs="Times New Roman"/>
                <w:b/>
                <w:bCs/>
                <w:sz w:val="18"/>
                <w:szCs w:val="18"/>
                <w:lang w:eastAsia="zh-CN"/>
              </w:rPr>
              <w:t>）</w:t>
            </w:r>
          </w:p>
        </w:tc>
      </w:tr>
      <w:tr w14:paraId="72F3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1BD85A64">
            <w:pPr>
              <w:jc w:val="center"/>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lang w:val="en-US" w:eastAsia="zh-CN"/>
              </w:rPr>
              <w:t>A</w:t>
            </w:r>
          </w:p>
        </w:tc>
        <w:tc>
          <w:tcPr>
            <w:tcW w:w="4971" w:type="dxa"/>
            <w:vAlign w:val="center"/>
          </w:tcPr>
          <w:p w14:paraId="67829855">
            <w:pPr>
              <w:jc w:val="left"/>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A-</w:t>
            </w:r>
            <w:r>
              <w:rPr>
                <w:rFonts w:hint="eastAsia" w:cs="Times New Roman"/>
                <w:b w:val="0"/>
                <w:bCs w:val="0"/>
                <w:sz w:val="18"/>
                <w:szCs w:val="18"/>
                <w:highlight w:val="none"/>
                <w:lang w:val="en-US" w:eastAsia="zh-CN"/>
              </w:rPr>
              <w:t>F</w:t>
            </w:r>
            <w:r>
              <w:rPr>
                <w:rFonts w:hint="default" w:ascii="Times New Roman" w:hAnsi="Times New Roman" w:eastAsia="宋体" w:cs="Times New Roman"/>
                <w:b w:val="0"/>
                <w:bCs w:val="0"/>
                <w:sz w:val="18"/>
                <w:szCs w:val="18"/>
                <w:highlight w:val="none"/>
              </w:rPr>
              <w:t>:AGATTGTCGTTTCCCGCCTT</w:t>
            </w:r>
          </w:p>
          <w:p w14:paraId="3CCB2E5C">
            <w:pPr>
              <w:jc w:val="left"/>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highlight w:val="none"/>
              </w:rPr>
              <w:t>A-</w:t>
            </w:r>
            <w:r>
              <w:rPr>
                <w:rFonts w:hint="eastAsia" w:cs="Times New Roman"/>
                <w:b w:val="0"/>
                <w:bCs w:val="0"/>
                <w:sz w:val="18"/>
                <w:szCs w:val="18"/>
                <w:highlight w:val="none"/>
                <w:lang w:val="en-US" w:eastAsia="zh-CN"/>
              </w:rPr>
              <w:t>R</w:t>
            </w:r>
            <w:r>
              <w:rPr>
                <w:rFonts w:hint="default" w:ascii="Times New Roman" w:hAnsi="Times New Roman" w:eastAsia="宋体" w:cs="Times New Roman"/>
                <w:b w:val="0"/>
                <w:bCs w:val="0"/>
                <w:sz w:val="18"/>
                <w:szCs w:val="18"/>
                <w:highlight w:val="none"/>
              </w:rPr>
              <w:t>:TTTAGTAGCCACTGGTTAAACAAACG</w:t>
            </w:r>
          </w:p>
        </w:tc>
        <w:tc>
          <w:tcPr>
            <w:tcW w:w="2244" w:type="dxa"/>
            <w:vAlign w:val="center"/>
          </w:tcPr>
          <w:p w14:paraId="5B42C6C3">
            <w:pPr>
              <w:jc w:val="center"/>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lang w:val="en-US" w:eastAsia="zh-CN"/>
              </w:rPr>
              <w:t>209</w:t>
            </w:r>
          </w:p>
        </w:tc>
      </w:tr>
      <w:tr w14:paraId="067C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3C2FA6D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B</w:t>
            </w:r>
          </w:p>
        </w:tc>
        <w:tc>
          <w:tcPr>
            <w:tcW w:w="4971" w:type="dxa"/>
            <w:vAlign w:val="center"/>
          </w:tcPr>
          <w:p w14:paraId="5C976264">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B-</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:TCCGCCTTGACCCGAATA</w:t>
            </w:r>
          </w:p>
          <w:p w14:paraId="5FF5B474">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B-</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:TTTAGTAGCCACTGGTTAAACAAACG</w:t>
            </w:r>
          </w:p>
        </w:tc>
        <w:tc>
          <w:tcPr>
            <w:tcW w:w="2244" w:type="dxa"/>
            <w:vAlign w:val="center"/>
          </w:tcPr>
          <w:p w14:paraId="6FE9E53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251</w:t>
            </w:r>
          </w:p>
        </w:tc>
      </w:tr>
      <w:tr w14:paraId="4BE4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394866F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w:t>
            </w:r>
          </w:p>
        </w:tc>
        <w:tc>
          <w:tcPr>
            <w:tcW w:w="4971" w:type="dxa"/>
            <w:vAlign w:val="center"/>
          </w:tcPr>
          <w:p w14:paraId="5AC48B3D">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:CGTATTTGCTGACGTGGGGTG</w:t>
            </w:r>
          </w:p>
          <w:p w14:paraId="2BB0561D">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C-</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:TTTAGTAGCCACTGGTTAAACAAACG</w:t>
            </w:r>
          </w:p>
        </w:tc>
        <w:tc>
          <w:tcPr>
            <w:tcW w:w="2244" w:type="dxa"/>
            <w:vAlign w:val="center"/>
          </w:tcPr>
          <w:p w14:paraId="1273459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283</w:t>
            </w:r>
          </w:p>
        </w:tc>
      </w:tr>
      <w:tr w14:paraId="6CCE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1618AF7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D</w:t>
            </w:r>
          </w:p>
        </w:tc>
        <w:tc>
          <w:tcPr>
            <w:tcW w:w="4971" w:type="dxa"/>
            <w:vAlign w:val="center"/>
          </w:tcPr>
          <w:p w14:paraId="3908413B">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D-</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:TCCGCCTTGACCCGAATA</w:t>
            </w:r>
          </w:p>
          <w:p w14:paraId="1AC7A56A">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D-</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:CGAATCTAACGCAACTTGAATGG</w:t>
            </w:r>
          </w:p>
        </w:tc>
        <w:tc>
          <w:tcPr>
            <w:tcW w:w="2244" w:type="dxa"/>
            <w:vAlign w:val="center"/>
          </w:tcPr>
          <w:p w14:paraId="05B31D4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158</w:t>
            </w:r>
          </w:p>
        </w:tc>
      </w:tr>
      <w:tr w14:paraId="3EDE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3BF2D1F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E</w:t>
            </w:r>
          </w:p>
        </w:tc>
        <w:tc>
          <w:tcPr>
            <w:tcW w:w="4971" w:type="dxa"/>
            <w:vAlign w:val="center"/>
          </w:tcPr>
          <w:p w14:paraId="70D6E1DB">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E-</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:CGTATTTGCTGACGTGGGGTG</w:t>
            </w:r>
          </w:p>
          <w:p w14:paraId="5DEF5F01">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E-</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:CGAATCTAACGCAACTTGAATGG</w:t>
            </w:r>
          </w:p>
        </w:tc>
        <w:tc>
          <w:tcPr>
            <w:tcW w:w="2244" w:type="dxa"/>
            <w:vAlign w:val="center"/>
          </w:tcPr>
          <w:p w14:paraId="5C2B660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190</w:t>
            </w:r>
          </w:p>
        </w:tc>
      </w:tr>
      <w:tr w14:paraId="214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4ED6A1C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F</w:t>
            </w:r>
          </w:p>
        </w:tc>
        <w:tc>
          <w:tcPr>
            <w:tcW w:w="4971" w:type="dxa"/>
            <w:vAlign w:val="center"/>
          </w:tcPr>
          <w:p w14:paraId="19F1F6EB">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F-</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:TTAGCAGCTTGAGCTTGGATCAG</w:t>
            </w:r>
          </w:p>
          <w:p w14:paraId="454E67E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F-</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:AAATAAAATGTGCAAAAATTGGGAT</w:t>
            </w:r>
          </w:p>
        </w:tc>
        <w:tc>
          <w:tcPr>
            <w:tcW w:w="2244" w:type="dxa"/>
            <w:vAlign w:val="center"/>
          </w:tcPr>
          <w:p w14:paraId="3C6DB9C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192</w:t>
            </w:r>
          </w:p>
        </w:tc>
      </w:tr>
      <w:tr w14:paraId="00E0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31540A6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G</w:t>
            </w:r>
          </w:p>
        </w:tc>
        <w:tc>
          <w:tcPr>
            <w:tcW w:w="4971" w:type="dxa"/>
            <w:vAlign w:val="center"/>
          </w:tcPr>
          <w:p w14:paraId="564403A0">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G-</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:TCCGCCTTGACCCGAATA</w:t>
            </w:r>
          </w:p>
          <w:p w14:paraId="49FFB9B8">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G-</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:AAATAAAATGTGCAAAAATTGGGAT</w:t>
            </w:r>
          </w:p>
        </w:tc>
        <w:tc>
          <w:tcPr>
            <w:tcW w:w="2244" w:type="dxa"/>
            <w:vAlign w:val="center"/>
          </w:tcPr>
          <w:p w14:paraId="37E3989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213</w:t>
            </w:r>
          </w:p>
        </w:tc>
      </w:tr>
      <w:tr w14:paraId="5B83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1B1AC0E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w:t>
            </w:r>
          </w:p>
        </w:tc>
        <w:tc>
          <w:tcPr>
            <w:tcW w:w="4971" w:type="dxa"/>
            <w:vAlign w:val="center"/>
          </w:tcPr>
          <w:p w14:paraId="6C359789">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H-</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:GCTGGCTTCCGCCTTGAC</w:t>
            </w:r>
          </w:p>
          <w:p w14:paraId="3444EB43">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H-</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:TAAAATGTGCAAAAATTGGGATAAA</w:t>
            </w:r>
          </w:p>
        </w:tc>
        <w:tc>
          <w:tcPr>
            <w:tcW w:w="2244" w:type="dxa"/>
            <w:vAlign w:val="center"/>
          </w:tcPr>
          <w:p w14:paraId="08F06C8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217</w:t>
            </w:r>
          </w:p>
        </w:tc>
      </w:tr>
      <w:tr w14:paraId="39E4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66A0FA4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I</w:t>
            </w:r>
          </w:p>
        </w:tc>
        <w:tc>
          <w:tcPr>
            <w:tcW w:w="4971" w:type="dxa"/>
            <w:vAlign w:val="center"/>
          </w:tcPr>
          <w:p w14:paraId="7387E9E9">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I-</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:CGTATTTGCTGACGTGGGGTG</w:t>
            </w:r>
          </w:p>
          <w:p w14:paraId="012B6A75">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rPr>
              <w:t>I-</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:TAAAATGTGCAAAAATTGGGATAAA</w:t>
            </w:r>
          </w:p>
        </w:tc>
        <w:tc>
          <w:tcPr>
            <w:tcW w:w="2244" w:type="dxa"/>
            <w:vAlign w:val="center"/>
          </w:tcPr>
          <w:p w14:paraId="0834CB4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242</w:t>
            </w:r>
          </w:p>
        </w:tc>
      </w:tr>
      <w:tr w14:paraId="3E28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14:paraId="5162D49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J</w:t>
            </w:r>
          </w:p>
        </w:tc>
        <w:tc>
          <w:tcPr>
            <w:tcW w:w="4971" w:type="dxa"/>
            <w:vAlign w:val="center"/>
          </w:tcPr>
          <w:p w14:paraId="0E220B4E">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J-</w:t>
            </w:r>
            <w:r>
              <w:rPr>
                <w:rFonts w:hint="eastAsia" w:cs="Times New Roman"/>
                <w:sz w:val="18"/>
                <w:szCs w:val="18"/>
                <w:highlight w:val="none"/>
                <w:lang w:val="en-US" w:eastAsia="zh-CN"/>
              </w:rPr>
              <w:t>F</w:t>
            </w:r>
            <w:r>
              <w:rPr>
                <w:rFonts w:hint="default" w:ascii="Times New Roman" w:hAnsi="Times New Roman" w:eastAsia="宋体" w:cs="Times New Roman"/>
                <w:sz w:val="18"/>
                <w:szCs w:val="18"/>
                <w:highlight w:val="none"/>
              </w:rPr>
              <w:t>:TGGTTTGTTGGTCGCCGTTAG</w:t>
            </w:r>
          </w:p>
          <w:p w14:paraId="6E81DE34">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rPr>
              <w:t>J-</w:t>
            </w:r>
            <w:r>
              <w:rPr>
                <w:rFonts w:hint="eastAsia" w:cs="Times New Roman"/>
                <w:sz w:val="18"/>
                <w:szCs w:val="18"/>
                <w:highlight w:val="none"/>
                <w:lang w:val="en-US" w:eastAsia="zh-CN"/>
              </w:rPr>
              <w:t>R</w:t>
            </w:r>
            <w:r>
              <w:rPr>
                <w:rFonts w:hint="default" w:ascii="Times New Roman" w:hAnsi="Times New Roman" w:eastAsia="宋体" w:cs="Times New Roman"/>
                <w:sz w:val="18"/>
                <w:szCs w:val="18"/>
                <w:highlight w:val="none"/>
              </w:rPr>
              <w:t>:TAAAATGTGCAAAAATTGGGATAAA</w:t>
            </w:r>
          </w:p>
        </w:tc>
        <w:tc>
          <w:tcPr>
            <w:tcW w:w="2244" w:type="dxa"/>
            <w:vAlign w:val="center"/>
          </w:tcPr>
          <w:p w14:paraId="02B7A81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293</w:t>
            </w:r>
          </w:p>
        </w:tc>
      </w:tr>
    </w:tbl>
    <w:p w14:paraId="435BEE35">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1.2 引物筛选（依据扩增强度和灵敏度）</w:t>
      </w:r>
    </w:p>
    <w:p w14:paraId="2B268F1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eastAsia" w:ascii="Times New Roman" w:hAnsi="Times New Roman" w:cs="Times New Roman"/>
          <w:szCs w:val="22"/>
        </w:rPr>
        <w:t>为了使该标准与先前发布的一系列转基因检测标准相适应且方便操作，参照</w:t>
      </w:r>
      <w:r>
        <w:rPr>
          <w:rFonts w:hint="eastAsia" w:cs="Times New Roman"/>
          <w:szCs w:val="22"/>
          <w:lang w:eastAsia="zh-CN"/>
        </w:rPr>
        <w:t>农业部1861号公告—3—2012</w:t>
      </w:r>
      <w:r>
        <w:rPr>
          <w:rFonts w:hint="eastAsia" w:ascii="Times New Roman" w:hAnsi="Times New Roman" w:cs="Times New Roman"/>
          <w:szCs w:val="22"/>
        </w:rPr>
        <w:t>玉米内标准基因检测中所述的PCR反应程序，本次测试的退火温度设定为58℃，对自行设计的</w:t>
      </w:r>
      <w:r>
        <w:rPr>
          <w:rFonts w:hint="eastAsia" w:ascii="Times New Roman" w:hAnsi="Times New Roman" w:cs="Times New Roman"/>
          <w:szCs w:val="22"/>
          <w:lang w:val="en-US" w:eastAsia="zh-CN"/>
        </w:rPr>
        <w:t>1</w:t>
      </w:r>
      <w:r>
        <w:rPr>
          <w:rFonts w:hint="eastAsia" w:cs="Times New Roman"/>
          <w:szCs w:val="22"/>
          <w:lang w:val="en-US" w:eastAsia="zh-CN"/>
        </w:rPr>
        <w:t>0</w:t>
      </w:r>
      <w:r>
        <w:rPr>
          <w:rFonts w:hint="eastAsia" w:ascii="Times New Roman" w:hAnsi="Times New Roman" w:cs="Times New Roman"/>
          <w:szCs w:val="22"/>
        </w:rPr>
        <w:t>对引物进行引物初筛。PCR扩增反应程序为：</w:t>
      </w:r>
      <w:r>
        <w:rPr>
          <w:rFonts w:hint="eastAsia" w:ascii="Times New Roman" w:hAnsi="Times New Roman" w:cs="Times New Roman"/>
          <w:szCs w:val="22"/>
          <w:lang w:eastAsia="zh-CN"/>
        </w:rPr>
        <w:t>95℃</w:t>
      </w:r>
      <w:r>
        <w:rPr>
          <w:rFonts w:hint="eastAsia" w:ascii="Times New Roman" w:hAnsi="Times New Roman" w:cs="Times New Roman"/>
          <w:szCs w:val="22"/>
        </w:rPr>
        <w:t>变性5 min；</w:t>
      </w:r>
      <w:r>
        <w:rPr>
          <w:rFonts w:hint="eastAsia" w:ascii="Times New Roman" w:hAnsi="Times New Roman" w:cs="Times New Roman"/>
          <w:szCs w:val="22"/>
          <w:lang w:eastAsia="zh-CN"/>
        </w:rPr>
        <w:t>95℃</w:t>
      </w:r>
      <w:r>
        <w:rPr>
          <w:rFonts w:hint="eastAsia" w:ascii="Times New Roman" w:hAnsi="Times New Roman" w:cs="Times New Roman"/>
          <w:szCs w:val="22"/>
        </w:rPr>
        <w:t>变性30 s，58℃退火30 s，72℃延伸30 s，共进行35次循环；72℃延伸5 min。</w:t>
      </w:r>
      <w:r>
        <w:rPr>
          <w:rFonts w:hint="default" w:ascii="Times New Roman" w:hAnsi="Times New Roman" w:cs="Times New Roman"/>
          <w:szCs w:val="22"/>
        </w:rPr>
        <w:t xml:space="preserve"> </w:t>
      </w:r>
    </w:p>
    <w:p w14:paraId="1C0C909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eastAsia" w:ascii="Times New Roman" w:hAnsi="Times New Roman" w:cs="Times New Roman"/>
          <w:szCs w:val="22"/>
        </w:rPr>
        <w:t>引物筛选样品设置为1%的抗虫耐除草剂玉米</w:t>
      </w:r>
      <w:r>
        <w:rPr>
          <w:rFonts w:hint="eastAsia" w:cs="Times New Roman"/>
          <w:szCs w:val="22"/>
          <w:lang w:eastAsia="zh-CN"/>
        </w:rPr>
        <w:t>QY2569-42</w:t>
      </w:r>
      <w:r>
        <w:rPr>
          <w:rFonts w:hint="eastAsia" w:ascii="Times New Roman" w:hAnsi="Times New Roman" w:cs="Times New Roman"/>
          <w:szCs w:val="22"/>
        </w:rPr>
        <w:t>模板DNA，通过其扩增条带亮度、特异性进行比较，选择扩增条带清晰、特异性好的引物作为后续试验验证的候选引物。</w:t>
      </w:r>
      <w:r>
        <w:rPr>
          <w:rFonts w:hint="eastAsia" w:ascii="Times New Roman" w:hAnsi="Times New Roman" w:cs="Times New Roman"/>
          <w:szCs w:val="22"/>
          <w:lang w:val="en-US" w:eastAsia="zh-CN"/>
        </w:rPr>
        <w:t>1</w:t>
      </w:r>
      <w:r>
        <w:rPr>
          <w:rFonts w:hint="eastAsia" w:cs="Times New Roman"/>
          <w:szCs w:val="22"/>
          <w:lang w:val="en-US" w:eastAsia="zh-CN"/>
        </w:rPr>
        <w:t>0</w:t>
      </w:r>
      <w:r>
        <w:rPr>
          <w:rFonts w:hint="eastAsia" w:ascii="Times New Roman" w:hAnsi="Times New Roman" w:cs="Times New Roman"/>
          <w:szCs w:val="22"/>
        </w:rPr>
        <w:t>对引物组合的筛选结果显示，引物组合</w:t>
      </w:r>
      <w:r>
        <w:rPr>
          <w:rFonts w:hint="eastAsia" w:ascii="Times New Roman" w:hAnsi="Times New Roman" w:cs="Times New Roman"/>
          <w:szCs w:val="22"/>
          <w:lang w:eastAsia="zh-CN"/>
        </w:rPr>
        <w:t>编号</w:t>
      </w:r>
      <w:r>
        <w:rPr>
          <w:rFonts w:hint="eastAsia" w:cs="Times New Roman"/>
          <w:szCs w:val="22"/>
          <w:lang w:val="en-US" w:eastAsia="zh-CN"/>
        </w:rPr>
        <w:t>A</w:t>
      </w:r>
      <w:r>
        <w:rPr>
          <w:rFonts w:hint="eastAsia" w:ascii="Times New Roman" w:hAnsi="Times New Roman" w:cs="Times New Roman"/>
          <w:szCs w:val="22"/>
        </w:rPr>
        <w:t>（</w:t>
      </w:r>
      <w:r>
        <w:rPr>
          <w:rFonts w:hint="eastAsia" w:ascii="Times New Roman" w:hAnsi="Times New Roman" w:cs="Times New Roman"/>
          <w:szCs w:val="22"/>
          <w:lang w:val="en-US" w:eastAsia="zh-CN"/>
        </w:rPr>
        <w:t>2</w:t>
      </w:r>
      <w:r>
        <w:rPr>
          <w:rFonts w:hint="eastAsia" w:cs="Times New Roman"/>
          <w:szCs w:val="22"/>
          <w:lang w:val="en-US" w:eastAsia="zh-CN"/>
        </w:rPr>
        <w:t>09</w:t>
      </w:r>
      <w:r>
        <w:rPr>
          <w:rFonts w:hint="eastAsia" w:ascii="Times New Roman" w:hAnsi="Times New Roman" w:cs="Times New Roman"/>
          <w:szCs w:val="22"/>
        </w:rPr>
        <w:t xml:space="preserve"> bp）满足上述要求（图</w:t>
      </w:r>
      <w:r>
        <w:rPr>
          <w:rFonts w:hint="eastAsia" w:cs="Times New Roman"/>
          <w:szCs w:val="22"/>
          <w:lang w:val="en-US" w:eastAsia="zh-CN"/>
        </w:rPr>
        <w:t>2-13</w:t>
      </w:r>
      <w:r>
        <w:rPr>
          <w:rFonts w:hint="eastAsia" w:ascii="Times New Roman" w:hAnsi="Times New Roman" w:cs="Times New Roman"/>
          <w:szCs w:val="22"/>
        </w:rPr>
        <w:t>），作为候选引物组合，进行下一步扩增条件和反应体系优化测试。</w:t>
      </w:r>
    </w:p>
    <w:p w14:paraId="6927576A">
      <w:pPr>
        <w:spacing w:line="360" w:lineRule="auto"/>
      </w:pPr>
      <w:r>
        <w:rPr>
          <w:rFonts w:hint="default" w:ascii="Times New Roman" w:hAnsi="Times New Roman" w:eastAsia="宋体" w:cs="Times New Roman"/>
          <w:sz w:val="21"/>
          <w:szCs w:val="21"/>
        </w:rPr>
        <w:drawing>
          <wp:inline distT="0" distB="0" distL="114300" distR="114300">
            <wp:extent cx="4531360" cy="3383280"/>
            <wp:effectExtent l="0" t="0" r="2540" b="762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2"/>
                    <a:stretch>
                      <a:fillRect/>
                    </a:stretch>
                  </pic:blipFill>
                  <pic:spPr>
                    <a:xfrm>
                      <a:off x="0" y="0"/>
                      <a:ext cx="4531360" cy="3383280"/>
                    </a:xfrm>
                    <a:prstGeom prst="rect">
                      <a:avLst/>
                    </a:prstGeom>
                    <a:noFill/>
                    <a:ln>
                      <a:noFill/>
                    </a:ln>
                  </pic:spPr>
                </pic:pic>
              </a:graphicData>
            </a:graphic>
          </wp:inline>
        </w:drawing>
      </w:r>
    </w:p>
    <w:p w14:paraId="382F9FBC">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2-13</w:t>
      </w:r>
      <w:r>
        <w:rPr>
          <w:rFonts w:ascii="Times New Roman" w:hAnsi="Times New Roman" w:eastAsia="黑体" w:cs="Calibri"/>
          <w:sz w:val="18"/>
          <w:szCs w:val="22"/>
        </w:rPr>
        <w:t xml:space="preserve"> </w:t>
      </w:r>
      <w:r>
        <w:rPr>
          <w:rFonts w:hint="eastAsia" w:ascii="Times New Roman" w:hAnsi="Times New Roman" w:eastAsia="黑体" w:cs="Calibri"/>
          <w:sz w:val="18"/>
          <w:szCs w:val="22"/>
          <w:lang w:val="en-US" w:eastAsia="zh-CN"/>
        </w:rPr>
        <w:t>10</w:t>
      </w:r>
      <w:r>
        <w:rPr>
          <w:rFonts w:ascii="Times New Roman" w:hAnsi="Times New Roman" w:eastAsia="黑体" w:cs="Calibri"/>
          <w:sz w:val="18"/>
          <w:szCs w:val="22"/>
        </w:rPr>
        <w:t>对引物组合的筛选结果</w:t>
      </w:r>
    </w:p>
    <w:p w14:paraId="320FAE8F">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M：100 bp DNA Ladder；1：空白</w:t>
      </w:r>
      <w:r>
        <w:rPr>
          <w:rFonts w:hint="eastAsia" w:cs="Times New Roman"/>
          <w:sz w:val="18"/>
          <w:szCs w:val="18"/>
          <w:lang w:val="en-US" w:eastAsia="zh-CN"/>
        </w:rPr>
        <w:t>质控品</w:t>
      </w:r>
      <w:r>
        <w:rPr>
          <w:rFonts w:hint="eastAsia" w:ascii="Times New Roman" w:hAnsi="Times New Roman" w:eastAsia="宋体" w:cs="Times New Roman"/>
          <w:sz w:val="18"/>
          <w:szCs w:val="18"/>
          <w:lang w:val="en-US" w:eastAsia="zh-CN"/>
        </w:rPr>
        <w:t>；2</w:t>
      </w:r>
      <w:r>
        <w:rPr>
          <w:rFonts w:hint="eastAsia" w:cs="Times New Roman"/>
          <w:sz w:val="18"/>
          <w:szCs w:val="18"/>
          <w:lang w:val="en-US" w:eastAsia="zh-CN"/>
        </w:rPr>
        <w:t>-3</w:t>
      </w:r>
      <w:r>
        <w:rPr>
          <w:rFonts w:hint="eastAsia" w:ascii="Times New Roman" w:hAnsi="Times New Roman" w:eastAsia="宋体" w:cs="Times New Roman"/>
          <w:sz w:val="18"/>
          <w:szCs w:val="18"/>
          <w:lang w:val="en-US" w:eastAsia="zh-CN"/>
        </w:rPr>
        <w:t>：阴性</w:t>
      </w:r>
      <w:r>
        <w:rPr>
          <w:rFonts w:hint="eastAsia" w:cs="Times New Roman"/>
          <w:sz w:val="18"/>
          <w:szCs w:val="18"/>
          <w:lang w:val="en-US" w:eastAsia="zh-CN"/>
        </w:rPr>
        <w:t>质控品</w:t>
      </w:r>
      <w:r>
        <w:rPr>
          <w:rFonts w:hint="eastAsia" w:ascii="Times New Roman" w:hAnsi="Times New Roman" w:eastAsia="宋体" w:cs="Times New Roman"/>
          <w:sz w:val="18"/>
          <w:szCs w:val="18"/>
          <w:lang w:val="en-US" w:eastAsia="zh-CN"/>
        </w:rPr>
        <w:t>；</w:t>
      </w:r>
      <w:r>
        <w:rPr>
          <w:rFonts w:hint="eastAsia" w:cs="Times New Roman"/>
          <w:sz w:val="18"/>
          <w:szCs w:val="18"/>
          <w:lang w:val="en-US" w:eastAsia="zh-CN"/>
        </w:rPr>
        <w:t>4-5</w:t>
      </w:r>
      <w:r>
        <w:rPr>
          <w:rFonts w:hint="eastAsia" w:ascii="Times New Roman" w:hAnsi="Times New Roman" w:eastAsia="宋体" w:cs="Times New Roman"/>
          <w:sz w:val="18"/>
          <w:szCs w:val="18"/>
          <w:lang w:val="en-US" w:eastAsia="zh-CN"/>
        </w:rPr>
        <w:t xml:space="preserve">：1% </w:t>
      </w:r>
      <w:r>
        <w:rPr>
          <w:rFonts w:hint="eastAsia" w:cs="Times New Roman"/>
          <w:sz w:val="18"/>
          <w:szCs w:val="18"/>
          <w:lang w:val="en-US" w:eastAsia="zh-CN"/>
        </w:rPr>
        <w:t>QY2569-42</w:t>
      </w:r>
    </w:p>
    <w:p w14:paraId="3EB38F15">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2. PCR扩增反应条件的优化与确定</w:t>
      </w:r>
    </w:p>
    <w:p w14:paraId="49D88455">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2.1 PCR扩增反应条件的优化</w:t>
      </w:r>
    </w:p>
    <w:p w14:paraId="5F775D8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以1%浓度的抗虫耐除草剂玉米</w:t>
      </w:r>
      <w:r>
        <w:rPr>
          <w:rFonts w:hint="eastAsia" w:cs="Times New Roman"/>
          <w:szCs w:val="22"/>
          <w:lang w:eastAsia="zh-CN"/>
        </w:rPr>
        <w:t>QY2569-42</w:t>
      </w:r>
      <w:r>
        <w:rPr>
          <w:rFonts w:hint="default" w:ascii="Times New Roman" w:hAnsi="Times New Roman" w:cs="Times New Roman"/>
          <w:szCs w:val="22"/>
        </w:rPr>
        <w:t>基因组DNA为模板，调整优化PCR反应体系和PCR反应程序。PCR反应体系优化，采用与玉米内标准基因</w:t>
      </w:r>
      <w:r>
        <w:rPr>
          <w:rFonts w:hint="default" w:ascii="Times New Roman" w:hAnsi="Times New Roman" w:cs="Times New Roman"/>
          <w:i/>
          <w:iCs/>
          <w:szCs w:val="22"/>
        </w:rPr>
        <w:t>zSSIIb</w:t>
      </w:r>
      <w:r>
        <w:rPr>
          <w:rFonts w:hint="default" w:ascii="Times New Roman" w:hAnsi="Times New Roman" w:cs="Times New Roman"/>
          <w:szCs w:val="22"/>
        </w:rPr>
        <w:t>一致的退火温度58℃（当筛选引物使用的退火温度与内参或其他转化体一致时，可以用此温度直接进行引物浓度梯度优化，不再进行其他4种退火温度优化），引物浓度设置5种不同浓度梯度0.1 µmol/L、0.2 µmol/L、0.4 µmol/L、0.6 µmol/L、0.8 µmol/L进行PCR反应扩增。结果表明：引物组合</w:t>
      </w:r>
      <w:r>
        <w:rPr>
          <w:rFonts w:hint="eastAsia" w:cs="Times New Roman"/>
          <w:szCs w:val="22"/>
          <w:lang w:val="en-US" w:eastAsia="zh-CN"/>
        </w:rPr>
        <w:t>A</w:t>
      </w:r>
      <w:r>
        <w:rPr>
          <w:rFonts w:hint="default" w:ascii="Times New Roman" w:hAnsi="Times New Roman" w:cs="Times New Roman"/>
          <w:szCs w:val="22"/>
        </w:rPr>
        <w:t>（</w:t>
      </w:r>
      <w:r>
        <w:rPr>
          <w:rFonts w:hint="default" w:ascii="Times New Roman" w:hAnsi="Times New Roman" w:cs="Times New Roman"/>
          <w:szCs w:val="22"/>
          <w:lang w:val="en-US" w:eastAsia="zh-CN"/>
        </w:rPr>
        <w:t>2</w:t>
      </w:r>
      <w:r>
        <w:rPr>
          <w:rFonts w:hint="eastAsia" w:cs="Times New Roman"/>
          <w:szCs w:val="22"/>
          <w:lang w:val="en-US" w:eastAsia="zh-CN"/>
        </w:rPr>
        <w:t>09</w:t>
      </w:r>
      <w:r>
        <w:rPr>
          <w:rFonts w:hint="default" w:ascii="Times New Roman" w:hAnsi="Times New Roman" w:cs="Times New Roman"/>
          <w:szCs w:val="22"/>
        </w:rPr>
        <w:t xml:space="preserve"> bp）在引物浓度为0.</w:t>
      </w:r>
      <w:r>
        <w:rPr>
          <w:rFonts w:hint="eastAsia" w:cs="Times New Roman"/>
          <w:szCs w:val="22"/>
          <w:lang w:val="en-US" w:eastAsia="zh-CN"/>
        </w:rPr>
        <w:t>4</w:t>
      </w:r>
      <w:r>
        <w:rPr>
          <w:rFonts w:hint="default" w:ascii="Times New Roman" w:hAnsi="Times New Roman" w:cs="Times New Roman"/>
          <w:szCs w:val="22"/>
        </w:rPr>
        <w:t xml:space="preserve"> μmol/L</w:t>
      </w:r>
      <w:r>
        <w:rPr>
          <w:rFonts w:hint="eastAsia" w:cs="Times New Roman"/>
          <w:szCs w:val="22"/>
          <w:lang w:eastAsia="zh-CN"/>
        </w:rPr>
        <w:t>及以上</w:t>
      </w:r>
      <w:r>
        <w:rPr>
          <w:rFonts w:hint="default" w:ascii="Times New Roman" w:hAnsi="Times New Roman" w:cs="Times New Roman"/>
          <w:szCs w:val="22"/>
          <w:lang w:eastAsia="zh-CN"/>
        </w:rPr>
        <w:t>时</w:t>
      </w:r>
      <w:r>
        <w:rPr>
          <w:rFonts w:hint="eastAsia" w:cs="Times New Roman"/>
          <w:szCs w:val="22"/>
          <w:lang w:eastAsia="zh-CN"/>
        </w:rPr>
        <w:t>，</w:t>
      </w:r>
      <w:r>
        <w:rPr>
          <w:rFonts w:hint="default" w:ascii="Times New Roman" w:hAnsi="Times New Roman" w:cs="Times New Roman"/>
          <w:szCs w:val="22"/>
        </w:rPr>
        <w:t>扩增</w:t>
      </w:r>
      <w:r>
        <w:rPr>
          <w:rFonts w:hint="eastAsia" w:cs="Times New Roman"/>
          <w:szCs w:val="22"/>
          <w:lang w:eastAsia="zh-CN"/>
        </w:rPr>
        <w:t>结果较优</w:t>
      </w:r>
      <w:r>
        <w:rPr>
          <w:rFonts w:hint="default" w:ascii="Times New Roman" w:hAnsi="Times New Roman" w:cs="Times New Roman"/>
          <w:szCs w:val="22"/>
        </w:rPr>
        <w:t>（图</w:t>
      </w:r>
      <w:r>
        <w:rPr>
          <w:rFonts w:hint="eastAsia" w:cs="Times New Roman"/>
          <w:szCs w:val="22"/>
          <w:lang w:val="en-US" w:eastAsia="zh-CN"/>
        </w:rPr>
        <w:t>2-14</w:t>
      </w:r>
      <w:r>
        <w:rPr>
          <w:rFonts w:hint="default" w:ascii="Times New Roman" w:hAnsi="Times New Roman" w:cs="Times New Roman"/>
          <w:szCs w:val="22"/>
        </w:rPr>
        <w:t>）。根据比较结果，以及为了方便实际检测需求，最终确定最佳引物终浓度为0.</w:t>
      </w:r>
      <w:r>
        <w:rPr>
          <w:rFonts w:hint="eastAsia" w:cs="Times New Roman"/>
          <w:szCs w:val="22"/>
          <w:lang w:val="en-US" w:eastAsia="zh-CN"/>
        </w:rPr>
        <w:t>4</w:t>
      </w:r>
      <w:r>
        <w:rPr>
          <w:rFonts w:hint="default" w:ascii="Times New Roman" w:hAnsi="Times New Roman" w:cs="Times New Roman"/>
          <w:szCs w:val="22"/>
        </w:rPr>
        <w:t xml:space="preserve"> µmol/L，退火温度为58℃。</w:t>
      </w:r>
    </w:p>
    <w:p w14:paraId="4CCEA317">
      <w:pPr>
        <w:tabs>
          <w:tab w:val="left" w:pos="3035"/>
        </w:tabs>
        <w:jc w:val="center"/>
        <w:rPr>
          <w:rFonts w:eastAsia="仿宋"/>
        </w:rPr>
      </w:pPr>
      <w:r>
        <w:rPr>
          <w:rFonts w:hint="eastAsia"/>
          <w:lang w:val="en-US" w:eastAsia="zh-CN"/>
        </w:rPr>
        <w:t xml:space="preserve">     </w:t>
      </w:r>
      <w:r>
        <w:rPr>
          <w:rFonts w:hint="default" w:ascii="Times New Roman" w:hAnsi="Times New Roman" w:eastAsia="宋体" w:cs="Times New Roman"/>
          <w:sz w:val="21"/>
          <w:szCs w:val="21"/>
        </w:rPr>
        <w:drawing>
          <wp:inline distT="0" distB="0" distL="114300" distR="114300">
            <wp:extent cx="5205730" cy="1332230"/>
            <wp:effectExtent l="0" t="0" r="1397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3"/>
                    <a:srcRect r="2579"/>
                    <a:stretch>
                      <a:fillRect/>
                    </a:stretch>
                  </pic:blipFill>
                  <pic:spPr>
                    <a:xfrm>
                      <a:off x="0" y="0"/>
                      <a:ext cx="5205730" cy="1332230"/>
                    </a:xfrm>
                    <a:prstGeom prst="rect">
                      <a:avLst/>
                    </a:prstGeom>
                    <a:noFill/>
                    <a:ln>
                      <a:noFill/>
                    </a:ln>
                  </pic:spPr>
                </pic:pic>
              </a:graphicData>
            </a:graphic>
          </wp:inline>
        </w:drawing>
      </w:r>
    </w:p>
    <w:p w14:paraId="387C2FD0">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2-14</w:t>
      </w:r>
      <w:r>
        <w:rPr>
          <w:rFonts w:ascii="Times New Roman" w:hAnsi="Times New Roman" w:eastAsia="黑体" w:cs="Calibri"/>
          <w:sz w:val="18"/>
          <w:szCs w:val="22"/>
        </w:rPr>
        <w:t xml:space="preserve"> 反应体系和反应条件的优化结果</w:t>
      </w:r>
    </w:p>
    <w:p w14:paraId="1658F586">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M：100 bp DNA Ladder；1：空白质控品；2：阴性玉米；3~4：转基因玉米</w:t>
      </w:r>
      <w:r>
        <w:rPr>
          <w:rFonts w:hint="eastAsia" w:cs="Times New Roman"/>
          <w:sz w:val="18"/>
          <w:szCs w:val="18"/>
          <w:lang w:val="en-US" w:eastAsia="zh-CN"/>
        </w:rPr>
        <w:t>QY2569-42</w:t>
      </w:r>
      <w:r>
        <w:rPr>
          <w:rFonts w:hint="eastAsia" w:ascii="Times New Roman" w:hAnsi="Times New Roman" w:eastAsia="宋体" w:cs="Times New Roman"/>
          <w:sz w:val="18"/>
          <w:szCs w:val="18"/>
          <w:lang w:val="en-US" w:eastAsia="zh-CN"/>
        </w:rPr>
        <w:t>（1%）</w:t>
      </w:r>
    </w:p>
    <w:p w14:paraId="25088861">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2.2 PCR扩增反应条件的确定</w:t>
      </w:r>
    </w:p>
    <w:p w14:paraId="50EEBE4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经优化最终确立了抗虫耐除草剂玉米</w:t>
      </w:r>
      <w:r>
        <w:rPr>
          <w:rFonts w:hint="eastAsia" w:cs="Times New Roman"/>
          <w:szCs w:val="22"/>
          <w:lang w:eastAsia="zh-CN"/>
        </w:rPr>
        <w:t>QY2569-42</w:t>
      </w:r>
      <w:r>
        <w:rPr>
          <w:rFonts w:hint="default" w:ascii="Times New Roman" w:hAnsi="Times New Roman" w:cs="Times New Roman"/>
          <w:szCs w:val="22"/>
        </w:rPr>
        <w:t>转化体特异性普通PCR扩增体系，各项成分按表</w:t>
      </w:r>
      <w:r>
        <w:rPr>
          <w:rFonts w:hint="eastAsia" w:cs="Times New Roman"/>
          <w:szCs w:val="22"/>
          <w:lang w:val="en-US" w:eastAsia="zh-CN"/>
        </w:rPr>
        <w:t>2-22</w:t>
      </w:r>
      <w:r>
        <w:rPr>
          <w:rFonts w:hint="default" w:ascii="Times New Roman" w:hAnsi="Times New Roman" w:cs="Times New Roman"/>
          <w:szCs w:val="22"/>
        </w:rPr>
        <w:t>所述添加。普通PCR扩增反应程序为：</w:t>
      </w:r>
      <w:r>
        <w:rPr>
          <w:rFonts w:hint="eastAsia" w:ascii="Times New Roman" w:hAnsi="Times New Roman" w:cs="Times New Roman"/>
          <w:szCs w:val="22"/>
          <w:lang w:eastAsia="zh-CN"/>
        </w:rPr>
        <w:t>95℃</w:t>
      </w:r>
      <w:r>
        <w:rPr>
          <w:rFonts w:hint="default" w:ascii="Times New Roman" w:hAnsi="Times New Roman" w:cs="Times New Roman"/>
          <w:szCs w:val="22"/>
        </w:rPr>
        <w:t>变性5 min；</w:t>
      </w:r>
      <w:r>
        <w:rPr>
          <w:rFonts w:hint="eastAsia" w:ascii="Times New Roman" w:hAnsi="Times New Roman" w:cs="Times New Roman"/>
          <w:szCs w:val="22"/>
          <w:lang w:eastAsia="zh-CN"/>
        </w:rPr>
        <w:t>95℃</w:t>
      </w:r>
      <w:r>
        <w:rPr>
          <w:rFonts w:hint="default" w:ascii="Times New Roman" w:hAnsi="Times New Roman" w:cs="Times New Roman"/>
          <w:szCs w:val="22"/>
        </w:rPr>
        <w:t>变性30 s，58℃退火30 s，72℃延伸30 s，共进行35次循环；72℃延伸5 min；</w:t>
      </w:r>
      <w:r>
        <w:rPr>
          <w:rFonts w:hint="eastAsia" w:ascii="Times New Roman" w:hAnsi="Times New Roman" w:cs="Times New Roman"/>
          <w:szCs w:val="22"/>
          <w:lang w:eastAsia="zh-CN"/>
        </w:rPr>
        <w:t>10℃保存</w:t>
      </w:r>
      <w:r>
        <w:rPr>
          <w:rFonts w:hint="default" w:ascii="Times New Roman" w:hAnsi="Times New Roman" w:cs="Times New Roman"/>
          <w:szCs w:val="22"/>
        </w:rPr>
        <w:t>。</w:t>
      </w:r>
    </w:p>
    <w:p w14:paraId="78B2F121">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2-22</w:t>
      </w:r>
      <w:r>
        <w:rPr>
          <w:rFonts w:ascii="Times New Roman" w:hAnsi="Times New Roman" w:eastAsia="黑体" w:cs="Calibri"/>
          <w:sz w:val="18"/>
          <w:szCs w:val="22"/>
        </w:rPr>
        <w:t xml:space="preserve"> 普通PCR扩增体系</w:t>
      </w:r>
    </w:p>
    <w:tbl>
      <w:tblPr>
        <w:tblStyle w:val="1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09"/>
        <w:gridCol w:w="2637"/>
        <w:gridCol w:w="2637"/>
      </w:tblGrid>
      <w:tr w14:paraId="2165A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top w:val="single" w:color="auto" w:sz="4" w:space="0"/>
              <w:left w:val="single" w:color="auto" w:sz="4" w:space="0"/>
              <w:bottom w:val="single" w:color="auto" w:sz="4" w:space="0"/>
            </w:tcBorders>
            <w:vAlign w:val="center"/>
          </w:tcPr>
          <w:p w14:paraId="52E16D65">
            <w:pPr>
              <w:tabs>
                <w:tab w:val="left" w:pos="5265"/>
              </w:tabs>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试剂</w:t>
            </w:r>
          </w:p>
        </w:tc>
        <w:tc>
          <w:tcPr>
            <w:tcW w:w="2637" w:type="dxa"/>
            <w:tcBorders>
              <w:top w:val="single" w:color="auto" w:sz="4" w:space="0"/>
              <w:bottom w:val="single" w:color="auto" w:sz="4" w:space="0"/>
            </w:tcBorders>
            <w:vAlign w:val="center"/>
          </w:tcPr>
          <w:p w14:paraId="664E98D3">
            <w:pPr>
              <w:tabs>
                <w:tab w:val="left" w:pos="5265"/>
              </w:tabs>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终浓度</w:t>
            </w:r>
          </w:p>
        </w:tc>
        <w:tc>
          <w:tcPr>
            <w:tcW w:w="2637" w:type="dxa"/>
            <w:tcBorders>
              <w:top w:val="single" w:color="auto" w:sz="4" w:space="0"/>
              <w:bottom w:val="single" w:color="auto" w:sz="4" w:space="0"/>
              <w:right w:val="single" w:color="auto" w:sz="4" w:space="0"/>
            </w:tcBorders>
            <w:vAlign w:val="center"/>
          </w:tcPr>
          <w:p w14:paraId="57776CC3">
            <w:pPr>
              <w:tabs>
                <w:tab w:val="left" w:pos="5265"/>
              </w:tabs>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体积</w:t>
            </w:r>
          </w:p>
        </w:tc>
      </w:tr>
      <w:tr w14:paraId="205AB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top w:val="single" w:color="auto" w:sz="4" w:space="0"/>
              <w:left w:val="single" w:color="auto" w:sz="4" w:space="0"/>
            </w:tcBorders>
            <w:vAlign w:val="center"/>
          </w:tcPr>
          <w:p w14:paraId="032D2F16">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ddH</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w:t>
            </w:r>
          </w:p>
        </w:tc>
        <w:tc>
          <w:tcPr>
            <w:tcW w:w="2637" w:type="dxa"/>
            <w:tcBorders>
              <w:top w:val="single" w:color="auto" w:sz="4" w:space="0"/>
            </w:tcBorders>
            <w:vAlign w:val="center"/>
          </w:tcPr>
          <w:p w14:paraId="7555ECC7">
            <w:pPr>
              <w:tabs>
                <w:tab w:val="left" w:pos="5265"/>
              </w:tabs>
              <w:jc w:val="center"/>
              <w:rPr>
                <w:rFonts w:hint="default" w:ascii="Times New Roman" w:hAnsi="Times New Roman" w:eastAsia="宋体" w:cs="Times New Roman"/>
                <w:sz w:val="18"/>
                <w:szCs w:val="18"/>
              </w:rPr>
            </w:pPr>
          </w:p>
        </w:tc>
        <w:tc>
          <w:tcPr>
            <w:tcW w:w="2637" w:type="dxa"/>
            <w:tcBorders>
              <w:top w:val="single" w:color="auto" w:sz="4" w:space="0"/>
              <w:right w:val="single" w:color="auto" w:sz="4" w:space="0"/>
            </w:tcBorders>
            <w:vAlign w:val="center"/>
          </w:tcPr>
          <w:p w14:paraId="3D17670D">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09AF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tcBorders>
            <w:vAlign w:val="center"/>
          </w:tcPr>
          <w:p w14:paraId="279AA610">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10×PCR缓冲液</w:t>
            </w:r>
          </w:p>
        </w:tc>
        <w:tc>
          <w:tcPr>
            <w:tcW w:w="2637" w:type="dxa"/>
            <w:vAlign w:val="center"/>
          </w:tcPr>
          <w:p w14:paraId="00359F66">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637" w:type="dxa"/>
            <w:tcBorders>
              <w:right w:val="single" w:color="auto" w:sz="4" w:space="0"/>
            </w:tcBorders>
            <w:vAlign w:val="center"/>
          </w:tcPr>
          <w:p w14:paraId="203D71BB">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µL</w:t>
            </w:r>
          </w:p>
        </w:tc>
      </w:tr>
      <w:tr w14:paraId="69306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tcBorders>
            <w:vAlign w:val="center"/>
          </w:tcPr>
          <w:p w14:paraId="7CEDFCD6">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 mmol/L氯化镁溶液</w:t>
            </w:r>
          </w:p>
        </w:tc>
        <w:tc>
          <w:tcPr>
            <w:tcW w:w="2637" w:type="dxa"/>
            <w:vAlign w:val="center"/>
          </w:tcPr>
          <w:p w14:paraId="757BA7A8">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 mmol/L</w:t>
            </w:r>
          </w:p>
        </w:tc>
        <w:tc>
          <w:tcPr>
            <w:tcW w:w="2637" w:type="dxa"/>
            <w:tcBorders>
              <w:right w:val="single" w:color="auto" w:sz="4" w:space="0"/>
            </w:tcBorders>
            <w:vAlign w:val="center"/>
          </w:tcPr>
          <w:p w14:paraId="48E07F83">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 µL</w:t>
            </w:r>
          </w:p>
        </w:tc>
      </w:tr>
      <w:tr w14:paraId="3EAF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tcBorders>
            <w:vAlign w:val="center"/>
          </w:tcPr>
          <w:p w14:paraId="04ED497F">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dNTPs混合溶液（各2.5 mmol/L）</w:t>
            </w:r>
          </w:p>
        </w:tc>
        <w:tc>
          <w:tcPr>
            <w:tcW w:w="2637" w:type="dxa"/>
            <w:vAlign w:val="center"/>
          </w:tcPr>
          <w:p w14:paraId="2F24D45D">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0.2 mmol/L</w:t>
            </w:r>
          </w:p>
        </w:tc>
        <w:tc>
          <w:tcPr>
            <w:tcW w:w="2637" w:type="dxa"/>
            <w:tcBorders>
              <w:right w:val="single" w:color="auto" w:sz="4" w:space="0"/>
            </w:tcBorders>
            <w:vAlign w:val="center"/>
          </w:tcPr>
          <w:p w14:paraId="23A0E375">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 µL</w:t>
            </w:r>
          </w:p>
        </w:tc>
      </w:tr>
      <w:tr w14:paraId="36701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tcBorders>
            <w:vAlign w:val="center"/>
          </w:tcPr>
          <w:p w14:paraId="342EE2E5">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10 µmol/L </w:t>
            </w:r>
            <w:r>
              <w:rPr>
                <w:rFonts w:hint="default" w:ascii="Times New Roman" w:hAnsi="Times New Roman" w:eastAsia="宋体" w:cs="Times New Roman"/>
                <w:sz w:val="18"/>
                <w:szCs w:val="18"/>
                <w:lang w:val="it-IT"/>
              </w:rPr>
              <w:t>上游引物</w:t>
            </w:r>
          </w:p>
        </w:tc>
        <w:tc>
          <w:tcPr>
            <w:tcW w:w="2637" w:type="dxa"/>
            <w:vAlign w:val="center"/>
          </w:tcPr>
          <w:p w14:paraId="78E1AD5A">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rPr>
              <w:t xml:space="preserve"> µmol/L</w:t>
            </w:r>
          </w:p>
        </w:tc>
        <w:tc>
          <w:tcPr>
            <w:tcW w:w="2637" w:type="dxa"/>
            <w:tcBorders>
              <w:right w:val="single" w:color="auto" w:sz="4" w:space="0"/>
            </w:tcBorders>
            <w:vAlign w:val="center"/>
          </w:tcPr>
          <w:p w14:paraId="770E77BD">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.0 µL</w:t>
            </w:r>
          </w:p>
        </w:tc>
      </w:tr>
      <w:tr w14:paraId="0FF3B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tcBorders>
            <w:vAlign w:val="center"/>
          </w:tcPr>
          <w:p w14:paraId="7F8AB0F2">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10 µmol/L </w:t>
            </w:r>
            <w:r>
              <w:rPr>
                <w:rFonts w:hint="default" w:ascii="Times New Roman" w:hAnsi="Times New Roman" w:eastAsia="宋体" w:cs="Times New Roman"/>
                <w:sz w:val="18"/>
                <w:szCs w:val="18"/>
                <w:lang w:val="it-IT"/>
              </w:rPr>
              <w:t>下游引物</w:t>
            </w:r>
          </w:p>
        </w:tc>
        <w:tc>
          <w:tcPr>
            <w:tcW w:w="2637" w:type="dxa"/>
            <w:vAlign w:val="center"/>
          </w:tcPr>
          <w:p w14:paraId="125B0200">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rPr>
              <w:t xml:space="preserve"> µmol/L</w:t>
            </w:r>
          </w:p>
        </w:tc>
        <w:tc>
          <w:tcPr>
            <w:tcW w:w="2637" w:type="dxa"/>
            <w:tcBorders>
              <w:right w:val="single" w:color="auto" w:sz="4" w:space="0"/>
            </w:tcBorders>
            <w:vAlign w:val="center"/>
          </w:tcPr>
          <w:p w14:paraId="5826DF6A">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.0 µL</w:t>
            </w:r>
          </w:p>
        </w:tc>
      </w:tr>
      <w:tr w14:paraId="120B0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tcBorders>
            <w:vAlign w:val="center"/>
          </w:tcPr>
          <w:p w14:paraId="00875EC7">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i/>
                <w:sz w:val="18"/>
                <w:szCs w:val="18"/>
              </w:rPr>
              <w:t>Taq</w:t>
            </w:r>
            <w:r>
              <w:rPr>
                <w:rFonts w:hint="default" w:ascii="Times New Roman" w:hAnsi="Times New Roman" w:eastAsia="宋体" w:cs="Times New Roman"/>
                <w:sz w:val="18"/>
                <w:szCs w:val="18"/>
              </w:rPr>
              <w:t xml:space="preserve"> DNA聚合酶</w:t>
            </w:r>
          </w:p>
        </w:tc>
        <w:tc>
          <w:tcPr>
            <w:tcW w:w="2637" w:type="dxa"/>
            <w:vAlign w:val="center"/>
          </w:tcPr>
          <w:p w14:paraId="1240A9DD">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0.025 U/µL</w:t>
            </w:r>
          </w:p>
        </w:tc>
        <w:tc>
          <w:tcPr>
            <w:tcW w:w="2637" w:type="dxa"/>
            <w:tcBorders>
              <w:right w:val="single" w:color="auto" w:sz="4" w:space="0"/>
            </w:tcBorders>
            <w:vAlign w:val="center"/>
          </w:tcPr>
          <w:p w14:paraId="153810FB">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DB64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left w:val="single" w:color="auto" w:sz="4" w:space="0"/>
              <w:bottom w:val="single" w:color="auto" w:sz="4" w:space="0"/>
            </w:tcBorders>
            <w:vAlign w:val="center"/>
          </w:tcPr>
          <w:p w14:paraId="32AD8D80">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 mg/L DNA模板</w:t>
            </w:r>
          </w:p>
        </w:tc>
        <w:tc>
          <w:tcPr>
            <w:tcW w:w="2637" w:type="dxa"/>
            <w:tcBorders>
              <w:bottom w:val="single" w:color="auto" w:sz="4" w:space="0"/>
            </w:tcBorders>
            <w:vAlign w:val="center"/>
          </w:tcPr>
          <w:p w14:paraId="1B040888">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 mg/L</w:t>
            </w:r>
          </w:p>
        </w:tc>
        <w:tc>
          <w:tcPr>
            <w:tcW w:w="2637" w:type="dxa"/>
            <w:tcBorders>
              <w:bottom w:val="single" w:color="auto" w:sz="4" w:space="0"/>
              <w:right w:val="single" w:color="auto" w:sz="4" w:space="0"/>
            </w:tcBorders>
            <w:vAlign w:val="center"/>
          </w:tcPr>
          <w:p w14:paraId="30C19C37">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 µL</w:t>
            </w:r>
          </w:p>
        </w:tc>
      </w:tr>
      <w:tr w14:paraId="08DB6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9" w:type="dxa"/>
            <w:tcBorders>
              <w:top w:val="single" w:color="auto" w:sz="4" w:space="0"/>
              <w:left w:val="single" w:color="auto" w:sz="4" w:space="0"/>
              <w:bottom w:val="single" w:color="auto" w:sz="4" w:space="0"/>
            </w:tcBorders>
            <w:vAlign w:val="center"/>
          </w:tcPr>
          <w:p w14:paraId="7ABDC2DD">
            <w:pPr>
              <w:tabs>
                <w:tab w:val="left" w:pos="5265"/>
              </w:tabs>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总体积</w:t>
            </w:r>
          </w:p>
        </w:tc>
        <w:tc>
          <w:tcPr>
            <w:tcW w:w="2637" w:type="dxa"/>
            <w:tcBorders>
              <w:top w:val="single" w:color="auto" w:sz="4" w:space="0"/>
              <w:bottom w:val="single" w:color="auto" w:sz="4" w:space="0"/>
            </w:tcBorders>
            <w:vAlign w:val="center"/>
          </w:tcPr>
          <w:p w14:paraId="06BCB3ED">
            <w:pPr>
              <w:tabs>
                <w:tab w:val="left" w:pos="5265"/>
              </w:tabs>
              <w:jc w:val="center"/>
              <w:rPr>
                <w:rFonts w:hint="default" w:ascii="Times New Roman" w:hAnsi="Times New Roman" w:eastAsia="宋体" w:cs="Times New Roman"/>
                <w:sz w:val="18"/>
                <w:szCs w:val="18"/>
              </w:rPr>
            </w:pPr>
          </w:p>
        </w:tc>
        <w:tc>
          <w:tcPr>
            <w:tcW w:w="2637" w:type="dxa"/>
            <w:tcBorders>
              <w:top w:val="single" w:color="auto" w:sz="4" w:space="0"/>
              <w:bottom w:val="single" w:color="auto" w:sz="4" w:space="0"/>
              <w:right w:val="single" w:color="auto" w:sz="4" w:space="0"/>
            </w:tcBorders>
            <w:vAlign w:val="center"/>
          </w:tcPr>
          <w:p w14:paraId="2AEEBB1D">
            <w:pPr>
              <w:tabs>
                <w:tab w:val="left" w:pos="5265"/>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 µL</w:t>
            </w:r>
          </w:p>
        </w:tc>
      </w:tr>
      <w:tr w14:paraId="063E9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883" w:type="dxa"/>
            <w:gridSpan w:val="3"/>
            <w:tcBorders>
              <w:top w:val="single" w:color="auto" w:sz="4" w:space="0"/>
              <w:left w:val="single" w:color="auto" w:sz="4" w:space="0"/>
              <w:bottom w:val="single" w:color="auto" w:sz="4" w:space="0"/>
              <w:right w:val="single" w:color="auto" w:sz="4" w:space="0"/>
            </w:tcBorders>
            <w:vAlign w:val="center"/>
          </w:tcPr>
          <w:p w14:paraId="2CAC1CF5">
            <w:pPr>
              <w:tabs>
                <w:tab w:val="left" w:pos="5265"/>
              </w:tabs>
              <w:ind w:firstLine="360" w:firstLineChars="200"/>
              <w:rPr>
                <w:rFonts w:hint="default" w:ascii="Times New Roman" w:hAnsi="Times New Roman" w:eastAsia="宋体" w:cs="Times New Roman"/>
                <w:sz w:val="18"/>
                <w:szCs w:val="18"/>
              </w:rPr>
            </w:pPr>
            <w:bookmarkStart w:id="26" w:name="OLE_LINK4"/>
            <w:r>
              <w:rPr>
                <w:rFonts w:hint="default" w:ascii="Times New Roman" w:hAnsi="Times New Roman" w:eastAsia="宋体" w:cs="Times New Roman"/>
                <w:sz w:val="18"/>
                <w:szCs w:val="18"/>
              </w:rPr>
              <w:t>“—”表示体积不确定，如果PCR缓冲液中含有氯化镁，则不加氯化镁溶液，根据</w:t>
            </w:r>
            <w:r>
              <w:rPr>
                <w:rFonts w:hint="default" w:ascii="Times New Roman" w:hAnsi="Times New Roman" w:eastAsia="宋体" w:cs="Times New Roman"/>
                <w:i/>
                <w:iCs/>
                <w:sz w:val="18"/>
                <w:szCs w:val="18"/>
              </w:rPr>
              <w:t>Taq</w:t>
            </w:r>
            <w:r>
              <w:rPr>
                <w:rFonts w:hint="default" w:ascii="Times New Roman" w:hAnsi="Times New Roman" w:eastAsia="宋体" w:cs="Times New Roman"/>
                <w:sz w:val="18"/>
                <w:szCs w:val="18"/>
              </w:rPr>
              <w:t xml:space="preserve"> DNA聚合酶的浓度确定其体积，并相应调整ddH</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O的体积，使反应体系总体积达到25.0</w:t>
            </w:r>
            <w:r>
              <w:rPr>
                <w:rFonts w:hint="eastAsia" w:ascii="Times New Roman" w:hAnsi="Times New Roman" w:cs="Times New Roman"/>
                <w:sz w:val="18"/>
                <w:szCs w:val="18"/>
                <w:lang w:val="en-US" w:eastAsia="zh-CN"/>
              </w:rPr>
              <w:t xml:space="preserve"> </w:t>
            </w:r>
            <w:r>
              <w:rPr>
                <w:rFonts w:hint="default" w:ascii="Times New Roman" w:hAnsi="Times New Roman" w:eastAsia="宋体" w:cs="Times New Roman"/>
                <w:sz w:val="18"/>
                <w:szCs w:val="18"/>
              </w:rPr>
              <w:t>µL。</w:t>
            </w:r>
          </w:p>
          <w:p w14:paraId="7187C394">
            <w:pPr>
              <w:tabs>
                <w:tab w:val="left" w:pos="5265"/>
              </w:tabs>
              <w:ind w:firstLine="360" w:firstLineChars="20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zh-CN"/>
              </w:rPr>
              <w:t>玉米内标准基因</w:t>
            </w:r>
            <w:r>
              <w:rPr>
                <w:rFonts w:hint="default" w:ascii="Times New Roman" w:hAnsi="Times New Roman" w:eastAsia="宋体" w:cs="Times New Roman"/>
                <w:sz w:val="18"/>
                <w:szCs w:val="18"/>
              </w:rPr>
              <w:t>PCR</w:t>
            </w:r>
            <w:r>
              <w:rPr>
                <w:rFonts w:hint="default" w:ascii="Times New Roman" w:hAnsi="Times New Roman" w:eastAsia="宋体" w:cs="Times New Roman"/>
                <w:sz w:val="18"/>
                <w:szCs w:val="18"/>
                <w:lang w:val="zh-CN"/>
              </w:rPr>
              <w:t>扩增体系中</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zh-CN"/>
              </w:rPr>
              <w:t>上、下游引物分别为</w:t>
            </w:r>
            <w:r>
              <w:rPr>
                <w:rFonts w:hint="default" w:ascii="Times New Roman" w:hAnsi="Times New Roman" w:eastAsia="宋体" w:cs="Times New Roman"/>
                <w:sz w:val="18"/>
                <w:szCs w:val="18"/>
              </w:rPr>
              <w:t>zSSIIb-1F</w:t>
            </w:r>
            <w:r>
              <w:rPr>
                <w:rFonts w:hint="default" w:ascii="Times New Roman" w:hAnsi="Times New Roman" w:eastAsia="宋体" w:cs="Times New Roman"/>
                <w:sz w:val="18"/>
                <w:szCs w:val="18"/>
                <w:lang w:val="zh-CN"/>
              </w:rPr>
              <w:t>、</w:t>
            </w:r>
            <w:r>
              <w:rPr>
                <w:rFonts w:hint="default" w:ascii="Times New Roman" w:hAnsi="Times New Roman" w:eastAsia="宋体" w:cs="Times New Roman"/>
                <w:sz w:val="18"/>
                <w:szCs w:val="18"/>
              </w:rPr>
              <w:t>zSSIIb-2R；</w:t>
            </w:r>
            <w:r>
              <w:rPr>
                <w:rFonts w:hint="eastAsia" w:cs="Times New Roman"/>
                <w:sz w:val="18"/>
                <w:szCs w:val="18"/>
                <w:lang w:eastAsia="zh-CN"/>
              </w:rPr>
              <w:t>QY2569-42</w:t>
            </w:r>
            <w:r>
              <w:rPr>
                <w:rFonts w:hint="default" w:ascii="Times New Roman" w:hAnsi="Times New Roman" w:eastAsia="宋体" w:cs="Times New Roman"/>
                <w:sz w:val="18"/>
                <w:szCs w:val="18"/>
                <w:lang w:val="zh-CN"/>
              </w:rPr>
              <w:t>转化体特异性序列</w:t>
            </w:r>
            <w:r>
              <w:rPr>
                <w:rFonts w:hint="default" w:ascii="Times New Roman" w:hAnsi="Times New Roman" w:eastAsia="宋体" w:cs="Times New Roman"/>
                <w:sz w:val="18"/>
                <w:szCs w:val="18"/>
              </w:rPr>
              <w:t>PCR</w:t>
            </w:r>
            <w:r>
              <w:rPr>
                <w:rFonts w:hint="default" w:ascii="Times New Roman" w:hAnsi="Times New Roman" w:eastAsia="宋体" w:cs="Times New Roman"/>
                <w:sz w:val="18"/>
                <w:szCs w:val="18"/>
                <w:lang w:val="zh-CN"/>
              </w:rPr>
              <w:t>扩增体系中</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zh-CN"/>
              </w:rPr>
              <w:t>上、下游引物分别为</w:t>
            </w:r>
            <w:r>
              <w:rPr>
                <w:rFonts w:hint="eastAsia" w:cs="Times New Roman"/>
                <w:sz w:val="18"/>
                <w:szCs w:val="18"/>
                <w:lang w:eastAsia="zh-CN"/>
              </w:rPr>
              <w:t>QY2569-42</w:t>
            </w:r>
            <w:r>
              <w:rPr>
                <w:rFonts w:hint="default" w:ascii="Times New Roman" w:hAnsi="Times New Roman" w:eastAsia="宋体" w:cs="Times New Roman"/>
                <w:sz w:val="18"/>
                <w:szCs w:val="18"/>
              </w:rPr>
              <w:t>-F</w:t>
            </w:r>
            <w:r>
              <w:rPr>
                <w:rFonts w:hint="default" w:ascii="Times New Roman" w:hAnsi="Times New Roman" w:eastAsia="宋体" w:cs="Times New Roman"/>
                <w:sz w:val="18"/>
                <w:szCs w:val="18"/>
                <w:lang w:val="zh-CN"/>
              </w:rPr>
              <w:t>、</w:t>
            </w:r>
            <w:r>
              <w:rPr>
                <w:rFonts w:hint="eastAsia" w:cs="Times New Roman"/>
                <w:sz w:val="18"/>
                <w:szCs w:val="18"/>
                <w:lang w:eastAsia="zh-CN"/>
              </w:rPr>
              <w:t>QY2569-42</w:t>
            </w:r>
            <w:r>
              <w:rPr>
                <w:rFonts w:hint="default" w:ascii="Times New Roman" w:hAnsi="Times New Roman" w:eastAsia="宋体" w:cs="Times New Roman"/>
                <w:sz w:val="18"/>
                <w:szCs w:val="18"/>
              </w:rPr>
              <w:t>-R</w:t>
            </w:r>
            <w:r>
              <w:rPr>
                <w:rFonts w:hint="default" w:ascii="Times New Roman" w:hAnsi="Times New Roman" w:eastAsia="宋体" w:cs="Times New Roman"/>
                <w:sz w:val="18"/>
                <w:szCs w:val="18"/>
                <w:lang w:val="zh-CN"/>
              </w:rPr>
              <w:t>。</w:t>
            </w:r>
          </w:p>
          <w:p w14:paraId="54FEC788">
            <w:pPr>
              <w:tabs>
                <w:tab w:val="left" w:pos="5265"/>
              </w:tabs>
              <w:ind w:firstLine="360" w:firstLineChars="200"/>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反应扩增体系可根据仪器及试剂耗材的实际使用情况，进行相应调整。</w:t>
            </w:r>
          </w:p>
          <w:p w14:paraId="76B5D3AF">
            <w:pPr>
              <w:tabs>
                <w:tab w:val="left" w:pos="5265"/>
              </w:tabs>
              <w:ind w:firstLine="360" w:firstLineChars="20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此表是1个反应体系的体积，应按照实际反应数量进行扩增体系配制。</w:t>
            </w:r>
          </w:p>
          <w:p w14:paraId="15ECFB88">
            <w:pPr>
              <w:tabs>
                <w:tab w:val="left" w:pos="5265"/>
              </w:tabs>
              <w:ind w:firstLine="360" w:firstLineChars="20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空白质控品用2.0 µL的水作模板。</w:t>
            </w:r>
            <w:bookmarkEnd w:id="26"/>
          </w:p>
        </w:tc>
      </w:tr>
    </w:tbl>
    <w:p w14:paraId="5F220B9D">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3. 特异性测试</w:t>
      </w:r>
    </w:p>
    <w:p w14:paraId="7CCB9797">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3.1 测试样品的设置</w:t>
      </w:r>
    </w:p>
    <w:p w14:paraId="41B42AE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选用不同作物及其主要的商业化转化体对抗虫耐除草剂玉米转化体引物组合</w:t>
      </w:r>
      <w:r>
        <w:rPr>
          <w:rFonts w:hint="eastAsia" w:cs="Times New Roman"/>
          <w:szCs w:val="22"/>
          <w:lang w:val="en-US" w:eastAsia="zh-CN"/>
        </w:rPr>
        <w:t>A</w:t>
      </w:r>
      <w:r>
        <w:rPr>
          <w:rFonts w:hint="eastAsia" w:ascii="Times New Roman" w:hAnsi="Times New Roman" w:cs="Times New Roman"/>
          <w:szCs w:val="22"/>
          <w:lang w:eastAsia="zh-CN"/>
        </w:rPr>
        <w:t>（</w:t>
      </w:r>
      <w:r>
        <w:rPr>
          <w:rFonts w:hint="eastAsia" w:cs="Times New Roman"/>
          <w:szCs w:val="22"/>
          <w:lang w:val="en-US" w:eastAsia="zh-CN"/>
        </w:rPr>
        <w:t>209</w:t>
      </w:r>
      <w:r>
        <w:rPr>
          <w:rFonts w:hint="eastAsia" w:ascii="Times New Roman" w:hAnsi="Times New Roman" w:cs="Times New Roman"/>
          <w:szCs w:val="22"/>
          <w:lang w:eastAsia="zh-CN"/>
        </w:rPr>
        <w:t xml:space="preserve"> bp）</w:t>
      </w:r>
      <w:r>
        <w:rPr>
          <w:rFonts w:hint="default" w:ascii="Times New Roman" w:hAnsi="Times New Roman" w:cs="Times New Roman"/>
          <w:szCs w:val="22"/>
        </w:rPr>
        <w:t>进行特异性测试，样品设置包括3份质控品（空白、阴性和阳性样品）和</w:t>
      </w:r>
      <w:r>
        <w:rPr>
          <w:rFonts w:hint="eastAsia" w:cs="Times New Roman"/>
          <w:szCs w:val="22"/>
          <w:lang w:val="en-US" w:eastAsia="zh-CN"/>
        </w:rPr>
        <w:t>5</w:t>
      </w:r>
      <w:r>
        <w:rPr>
          <w:rFonts w:hint="default" w:ascii="Times New Roman" w:hAnsi="Times New Roman" w:cs="Times New Roman"/>
          <w:szCs w:val="22"/>
        </w:rPr>
        <w:t>份测试样品，具体样品信息见如下：</w:t>
      </w:r>
    </w:p>
    <w:p w14:paraId="1C3AB96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（1）空白质控品（以水作为空白质控品）</w:t>
      </w:r>
    </w:p>
    <w:p w14:paraId="2CD0BE5C">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（2）阴性质控品（非转基因玉米）；</w:t>
      </w:r>
    </w:p>
    <w:p w14:paraId="457AAD8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（3）阳性质控品（转基因玉米</w:t>
      </w:r>
      <w:r>
        <w:rPr>
          <w:rFonts w:hint="eastAsia" w:cs="Times New Roman"/>
          <w:szCs w:val="22"/>
          <w:lang w:eastAsia="zh-CN"/>
        </w:rPr>
        <w:t>QY2569-42</w:t>
      </w:r>
      <w:r>
        <w:rPr>
          <w:rFonts w:hint="default" w:ascii="Times New Roman" w:hAnsi="Times New Roman" w:cs="Times New Roman"/>
          <w:szCs w:val="22"/>
        </w:rPr>
        <w:t>，质量分数为1%）；</w:t>
      </w:r>
    </w:p>
    <w:p w14:paraId="04617A1B">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（4）其他转基因玉米混合样品（Bt11、Bt176、MON810、MON863、GA21、NK603、T25、TC1507、MON89034、MON88017、59122、MIR604、3272、MON87460、DAS40278-9、4114、MON87427、5307，含量各1%，以非转基因玉米为填充物）；</w:t>
      </w:r>
    </w:p>
    <w:p w14:paraId="13B5966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（5）转基因大豆混合样品（GTS40-3-2、MON89788、A5547-127、A2704-12、356043、305423、CV127、MON87701、MON87708、MON87769、MON87705、FG72、DAS81419-2，含量各1%，以非转基因大豆为填充物）；</w:t>
      </w:r>
    </w:p>
    <w:p w14:paraId="6B14D20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（6）转基因棉花混合样品（MON1445、MON531、MON15985、LLCOTTON25、MON88913、GHB614、COT102，含量各1%，以非转基因棉花为填充物）；</w:t>
      </w:r>
    </w:p>
    <w:p w14:paraId="15EFA90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（7）转基因油菜混合样品（MS1、MS8、RF1、RF2、RF3、T45、Oxy235、Topas19/2、MON88302、73496，含量各1%，以非转基因油菜为填充物）；</w:t>
      </w:r>
    </w:p>
    <w:p w14:paraId="2683180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（8）转基因水稻混合样品（TT51-1、KF-6、KMD-1、M12、KF-8、KF-2、G6H1、T1C-19，含量各1%，以非转基因水稻为填充物）。</w:t>
      </w:r>
    </w:p>
    <w:p w14:paraId="05EB1117">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3.2 样品的特异性测试</w:t>
      </w:r>
    </w:p>
    <w:p w14:paraId="6B40EA3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分别上述提取样品的DNA进行测试，测试结果显示，引物组合</w:t>
      </w:r>
      <w:r>
        <w:rPr>
          <w:rFonts w:hint="eastAsia" w:cs="Times New Roman"/>
          <w:szCs w:val="22"/>
          <w:lang w:val="en-US" w:eastAsia="zh-CN"/>
        </w:rPr>
        <w:t>A</w:t>
      </w:r>
      <w:r>
        <w:rPr>
          <w:rFonts w:hint="eastAsia" w:ascii="Times New Roman" w:hAnsi="Times New Roman" w:cs="Times New Roman"/>
          <w:szCs w:val="22"/>
          <w:lang w:eastAsia="zh-CN"/>
        </w:rPr>
        <w:t>（</w:t>
      </w:r>
      <w:r>
        <w:rPr>
          <w:rFonts w:hint="eastAsia" w:cs="Times New Roman"/>
          <w:szCs w:val="22"/>
          <w:lang w:val="en-US" w:eastAsia="zh-CN"/>
        </w:rPr>
        <w:t>209</w:t>
      </w:r>
      <w:r>
        <w:rPr>
          <w:rFonts w:hint="eastAsia" w:ascii="Times New Roman" w:hAnsi="Times New Roman" w:cs="Times New Roman"/>
          <w:szCs w:val="22"/>
          <w:lang w:eastAsia="zh-CN"/>
        </w:rPr>
        <w:t xml:space="preserve"> bp）</w:t>
      </w:r>
      <w:r>
        <w:rPr>
          <w:rFonts w:hint="default" w:ascii="Times New Roman" w:hAnsi="Times New Roman" w:cs="Times New Roman"/>
          <w:szCs w:val="22"/>
        </w:rPr>
        <w:t>仅从含有抗虫耐除草剂玉米</w:t>
      </w:r>
      <w:r>
        <w:rPr>
          <w:rFonts w:hint="eastAsia" w:cs="Times New Roman"/>
          <w:szCs w:val="22"/>
          <w:lang w:eastAsia="zh-CN"/>
        </w:rPr>
        <w:t>QY2569-42</w:t>
      </w:r>
      <w:r>
        <w:rPr>
          <w:rFonts w:hint="default" w:ascii="Times New Roman" w:hAnsi="Times New Roman" w:cs="Times New Roman"/>
          <w:szCs w:val="22"/>
        </w:rPr>
        <w:t>样品中扩增到预期大小DNA片段，且无非特异扩增，而在其他样品中均未扩增到预期大小的条带，如图</w:t>
      </w:r>
      <w:r>
        <w:rPr>
          <w:rFonts w:hint="eastAsia" w:cs="Times New Roman"/>
          <w:szCs w:val="22"/>
          <w:lang w:val="en-US" w:eastAsia="zh-CN"/>
        </w:rPr>
        <w:t>2-15</w:t>
      </w:r>
      <w:r>
        <w:rPr>
          <w:rFonts w:hint="default" w:ascii="Times New Roman" w:hAnsi="Times New Roman" w:cs="Times New Roman"/>
          <w:szCs w:val="22"/>
        </w:rPr>
        <w:t>。表明引物组合</w:t>
      </w:r>
      <w:r>
        <w:rPr>
          <w:rFonts w:hint="eastAsia" w:cs="Times New Roman"/>
          <w:szCs w:val="22"/>
          <w:lang w:val="en-US" w:eastAsia="zh-CN"/>
        </w:rPr>
        <w:t>A</w:t>
      </w:r>
      <w:r>
        <w:rPr>
          <w:rFonts w:hint="eastAsia" w:ascii="Times New Roman" w:hAnsi="Times New Roman" w:cs="Times New Roman"/>
          <w:szCs w:val="22"/>
          <w:lang w:eastAsia="zh-CN"/>
        </w:rPr>
        <w:t>（</w:t>
      </w:r>
      <w:r>
        <w:rPr>
          <w:rFonts w:hint="eastAsia" w:cs="Times New Roman"/>
          <w:szCs w:val="22"/>
          <w:lang w:val="en-US" w:eastAsia="zh-CN"/>
        </w:rPr>
        <w:t>209</w:t>
      </w:r>
      <w:r>
        <w:rPr>
          <w:rFonts w:hint="eastAsia" w:ascii="Times New Roman" w:hAnsi="Times New Roman" w:cs="Times New Roman"/>
          <w:szCs w:val="22"/>
          <w:lang w:eastAsia="zh-CN"/>
        </w:rPr>
        <w:t xml:space="preserve"> bp）</w:t>
      </w:r>
      <w:r>
        <w:rPr>
          <w:rFonts w:hint="default" w:ascii="Times New Roman" w:hAnsi="Times New Roman" w:cs="Times New Roman"/>
          <w:szCs w:val="22"/>
        </w:rPr>
        <w:t>具有良好特异性，可作为抗虫耐除草剂玉米</w:t>
      </w:r>
      <w:r>
        <w:rPr>
          <w:rFonts w:hint="eastAsia" w:cs="Times New Roman"/>
          <w:szCs w:val="22"/>
          <w:lang w:eastAsia="zh-CN"/>
        </w:rPr>
        <w:t>QY2569-42</w:t>
      </w:r>
      <w:r>
        <w:rPr>
          <w:rFonts w:hint="default" w:ascii="Times New Roman" w:hAnsi="Times New Roman" w:cs="Times New Roman"/>
          <w:szCs w:val="22"/>
        </w:rPr>
        <w:t>普通PCR检测方法的候选引物，将这对最佳引物组合在后续实验及标准中命名为</w:t>
      </w:r>
      <w:r>
        <w:rPr>
          <w:rFonts w:hint="eastAsia" w:cs="Times New Roman"/>
          <w:szCs w:val="22"/>
          <w:lang w:eastAsia="zh-CN"/>
        </w:rPr>
        <w:t>QY2569-42</w:t>
      </w:r>
      <w:r>
        <w:rPr>
          <w:rFonts w:hint="default" w:ascii="Times New Roman" w:hAnsi="Times New Roman" w:cs="Times New Roman"/>
          <w:szCs w:val="22"/>
        </w:rPr>
        <w:t>-F和</w:t>
      </w:r>
      <w:r>
        <w:rPr>
          <w:rFonts w:hint="eastAsia" w:cs="Times New Roman"/>
          <w:szCs w:val="22"/>
          <w:lang w:eastAsia="zh-CN"/>
        </w:rPr>
        <w:t>QY2569-42</w:t>
      </w:r>
      <w:r>
        <w:rPr>
          <w:rFonts w:hint="default" w:ascii="Times New Roman" w:hAnsi="Times New Roman" w:cs="Times New Roman"/>
          <w:szCs w:val="22"/>
        </w:rPr>
        <w:t>-R，扩增片段大小为</w:t>
      </w:r>
      <w:r>
        <w:rPr>
          <w:rFonts w:hint="eastAsia" w:ascii="Times New Roman" w:hAnsi="Times New Roman" w:cs="Times New Roman"/>
          <w:szCs w:val="22"/>
          <w:lang w:val="en-US" w:eastAsia="zh-CN"/>
        </w:rPr>
        <w:t>2</w:t>
      </w:r>
      <w:r>
        <w:rPr>
          <w:rFonts w:hint="eastAsia" w:cs="Times New Roman"/>
          <w:szCs w:val="22"/>
          <w:lang w:val="en-US" w:eastAsia="zh-CN"/>
        </w:rPr>
        <w:t>09</w:t>
      </w:r>
      <w:r>
        <w:rPr>
          <w:rFonts w:hint="default" w:ascii="Times New Roman" w:hAnsi="Times New Roman" w:cs="Times New Roman"/>
          <w:szCs w:val="22"/>
        </w:rPr>
        <w:t xml:space="preserve"> bp。</w:t>
      </w:r>
    </w:p>
    <w:p w14:paraId="305324D6">
      <w:pPr>
        <w:jc w:val="center"/>
        <w:rPr>
          <w:rFonts w:eastAsia="仿宋"/>
        </w:rPr>
      </w:pPr>
      <w:r>
        <w:rPr>
          <w:rFonts w:hint="eastAsia"/>
          <w:lang w:val="en-US" w:eastAsia="zh-CN"/>
        </w:rPr>
        <w:t xml:space="preserve">       </w:t>
      </w:r>
      <w:r>
        <w:rPr>
          <w:rFonts w:hint="default" w:ascii="Times New Roman" w:hAnsi="Times New Roman" w:eastAsia="宋体" w:cs="Times New Roman"/>
          <w:sz w:val="21"/>
          <w:szCs w:val="21"/>
        </w:rPr>
        <w:drawing>
          <wp:inline distT="0" distB="0" distL="114300" distR="114300">
            <wp:extent cx="2657475" cy="1158875"/>
            <wp:effectExtent l="0" t="0" r="952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4"/>
                    <a:stretch>
                      <a:fillRect/>
                    </a:stretch>
                  </pic:blipFill>
                  <pic:spPr>
                    <a:xfrm>
                      <a:off x="0" y="0"/>
                      <a:ext cx="2657475" cy="1158875"/>
                    </a:xfrm>
                    <a:prstGeom prst="rect">
                      <a:avLst/>
                    </a:prstGeom>
                    <a:noFill/>
                    <a:ln>
                      <a:noFill/>
                    </a:ln>
                  </pic:spPr>
                </pic:pic>
              </a:graphicData>
            </a:graphic>
          </wp:inline>
        </w:drawing>
      </w:r>
    </w:p>
    <w:p w14:paraId="42604C10">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2-15</w:t>
      </w:r>
      <w:r>
        <w:rPr>
          <w:rFonts w:ascii="Times New Roman" w:hAnsi="Times New Roman" w:eastAsia="黑体" w:cs="Calibri"/>
          <w:sz w:val="18"/>
          <w:szCs w:val="22"/>
        </w:rPr>
        <w:t xml:space="preserve"> 特异性测试结果</w:t>
      </w:r>
    </w:p>
    <w:p w14:paraId="55E4476F">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M：100 bp DNA Ladder；1：空白质控品；2：阴性质控品；3：阳性质控品；</w:t>
      </w:r>
    </w:p>
    <w:p w14:paraId="3BB8C516">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eastAsia" w:cs="Times New Roman"/>
          <w:sz w:val="18"/>
          <w:szCs w:val="18"/>
          <w:lang w:val="en-US" w:eastAsia="zh-CN"/>
        </w:rPr>
        <w:t>4</w:t>
      </w:r>
      <w:r>
        <w:rPr>
          <w:rFonts w:hint="default" w:ascii="Times New Roman" w:hAnsi="Times New Roman" w:eastAsia="宋体" w:cs="Times New Roman"/>
          <w:sz w:val="18"/>
          <w:szCs w:val="18"/>
        </w:rPr>
        <w:t>：其他转基因玉米混合样；</w:t>
      </w:r>
      <w:r>
        <w:rPr>
          <w:rFonts w:hint="eastAsia" w:cs="Times New Roman"/>
          <w:sz w:val="18"/>
          <w:szCs w:val="18"/>
          <w:lang w:val="en-US" w:eastAsia="zh-CN"/>
        </w:rPr>
        <w:t>5</w:t>
      </w:r>
      <w:r>
        <w:rPr>
          <w:rFonts w:hint="default" w:ascii="Times New Roman" w:hAnsi="Times New Roman" w:eastAsia="宋体" w:cs="Times New Roman"/>
          <w:sz w:val="18"/>
          <w:szCs w:val="18"/>
        </w:rPr>
        <w:t>：转基因大豆混合样；</w:t>
      </w:r>
      <w:r>
        <w:rPr>
          <w:rFonts w:hint="eastAsia" w:cs="Times New Roman"/>
          <w:sz w:val="18"/>
          <w:szCs w:val="18"/>
          <w:lang w:val="en-US" w:eastAsia="zh-CN"/>
        </w:rPr>
        <w:t>6</w:t>
      </w:r>
      <w:r>
        <w:rPr>
          <w:rFonts w:hint="default" w:ascii="Times New Roman" w:hAnsi="Times New Roman" w:eastAsia="宋体" w:cs="Times New Roman"/>
          <w:sz w:val="18"/>
          <w:szCs w:val="18"/>
        </w:rPr>
        <w:t>：转基因</w:t>
      </w:r>
      <w:r>
        <w:rPr>
          <w:rFonts w:hint="eastAsia" w:cs="Times New Roman"/>
          <w:sz w:val="18"/>
          <w:szCs w:val="18"/>
          <w:lang w:val="en-US" w:eastAsia="zh-CN"/>
        </w:rPr>
        <w:t>油菜</w:t>
      </w:r>
      <w:r>
        <w:rPr>
          <w:rFonts w:hint="default" w:ascii="Times New Roman" w:hAnsi="Times New Roman" w:eastAsia="宋体" w:cs="Times New Roman"/>
          <w:sz w:val="18"/>
          <w:szCs w:val="18"/>
        </w:rPr>
        <w:t>混合样；</w:t>
      </w:r>
    </w:p>
    <w:p w14:paraId="49AD65D3">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eastAsia" w:cs="Times New Roman"/>
          <w:sz w:val="18"/>
          <w:szCs w:val="18"/>
          <w:lang w:val="en-US" w:eastAsia="zh-CN"/>
        </w:rPr>
        <w:t>7</w:t>
      </w:r>
      <w:r>
        <w:rPr>
          <w:rFonts w:hint="default" w:ascii="Times New Roman" w:hAnsi="Times New Roman" w:eastAsia="宋体" w:cs="Times New Roman"/>
          <w:sz w:val="18"/>
          <w:szCs w:val="18"/>
        </w:rPr>
        <w:t>：转基因</w:t>
      </w:r>
      <w:r>
        <w:rPr>
          <w:rFonts w:hint="eastAsia" w:cs="Times New Roman"/>
          <w:sz w:val="18"/>
          <w:szCs w:val="18"/>
          <w:lang w:val="en-US" w:eastAsia="zh-CN"/>
        </w:rPr>
        <w:t>水稻</w:t>
      </w:r>
      <w:r>
        <w:rPr>
          <w:rFonts w:hint="default" w:ascii="Times New Roman" w:hAnsi="Times New Roman" w:eastAsia="宋体" w:cs="Times New Roman"/>
          <w:sz w:val="18"/>
          <w:szCs w:val="18"/>
        </w:rPr>
        <w:t>混合样；</w:t>
      </w:r>
      <w:r>
        <w:rPr>
          <w:rFonts w:hint="eastAsia" w:cs="Times New Roman"/>
          <w:sz w:val="18"/>
          <w:szCs w:val="18"/>
          <w:lang w:val="en-US" w:eastAsia="zh-CN"/>
        </w:rPr>
        <w:t>8</w:t>
      </w:r>
      <w:r>
        <w:rPr>
          <w:rFonts w:hint="default" w:ascii="Times New Roman" w:hAnsi="Times New Roman" w:eastAsia="宋体" w:cs="Times New Roman"/>
          <w:sz w:val="18"/>
          <w:szCs w:val="18"/>
        </w:rPr>
        <w:t>：转基因</w:t>
      </w:r>
      <w:r>
        <w:rPr>
          <w:rFonts w:hint="eastAsia" w:cs="Times New Roman"/>
          <w:sz w:val="18"/>
          <w:szCs w:val="18"/>
          <w:lang w:val="en-US" w:eastAsia="zh-CN"/>
        </w:rPr>
        <w:t>棉花</w:t>
      </w:r>
      <w:r>
        <w:rPr>
          <w:rFonts w:hint="default" w:ascii="Times New Roman" w:hAnsi="Times New Roman" w:eastAsia="宋体" w:cs="Times New Roman"/>
          <w:sz w:val="18"/>
          <w:szCs w:val="18"/>
        </w:rPr>
        <w:t>混合样</w:t>
      </w:r>
    </w:p>
    <w:p w14:paraId="5B184D94">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4 靶标序列测序验证</w:t>
      </w:r>
    </w:p>
    <w:p w14:paraId="52E8D08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对引物组合</w:t>
      </w:r>
      <w:r>
        <w:rPr>
          <w:rFonts w:hint="eastAsia" w:cs="Times New Roman"/>
          <w:szCs w:val="22"/>
          <w:lang w:eastAsia="zh-CN"/>
        </w:rPr>
        <w:t>QY2569-42</w:t>
      </w:r>
      <w:r>
        <w:rPr>
          <w:rFonts w:hint="default" w:ascii="Times New Roman" w:hAnsi="Times New Roman" w:cs="Times New Roman"/>
          <w:szCs w:val="22"/>
        </w:rPr>
        <w:t>-F/</w:t>
      </w:r>
      <w:r>
        <w:rPr>
          <w:rFonts w:hint="eastAsia" w:cs="Times New Roman"/>
          <w:szCs w:val="22"/>
          <w:lang w:eastAsia="zh-CN"/>
        </w:rPr>
        <w:t>QY2569-42</w:t>
      </w:r>
      <w:r>
        <w:rPr>
          <w:rFonts w:hint="default" w:ascii="Times New Roman" w:hAnsi="Times New Roman" w:cs="Times New Roman"/>
          <w:szCs w:val="22"/>
        </w:rPr>
        <w:t>-R扩增的片段进行</w:t>
      </w:r>
      <w:r>
        <w:rPr>
          <w:rFonts w:hint="eastAsia" w:ascii="Times New Roman" w:hAnsi="Times New Roman" w:cs="Times New Roman"/>
          <w:szCs w:val="22"/>
          <w:lang w:eastAsia="zh-CN"/>
        </w:rPr>
        <w:t>克隆</w:t>
      </w:r>
      <w:r>
        <w:rPr>
          <w:rFonts w:hint="default" w:ascii="Times New Roman" w:hAnsi="Times New Roman" w:cs="Times New Roman"/>
          <w:szCs w:val="22"/>
        </w:rPr>
        <w:t>测序验证，结果与研发单位提供的分子特征信息无差异，序列比对结果见图</w:t>
      </w:r>
      <w:r>
        <w:rPr>
          <w:rFonts w:hint="eastAsia" w:cs="Times New Roman"/>
          <w:szCs w:val="22"/>
          <w:lang w:val="en-US" w:eastAsia="zh-CN"/>
        </w:rPr>
        <w:t>2-16</w:t>
      </w:r>
      <w:r>
        <w:rPr>
          <w:rFonts w:hint="default" w:ascii="Times New Roman" w:hAnsi="Times New Roman" w:cs="Times New Roman"/>
          <w:szCs w:val="22"/>
        </w:rPr>
        <w:t>。</w:t>
      </w:r>
    </w:p>
    <w:p w14:paraId="73445764">
      <w:pPr>
        <w:spacing w:line="312" w:lineRule="auto"/>
        <w:jc w:val="center"/>
        <w:rPr>
          <w:rFonts w:hint="default" w:ascii="Times New Roman" w:hAnsi="Times New Roman" w:eastAsia="宋体" w:cs="Times New Roman"/>
          <w:sz w:val="21"/>
          <w:szCs w:val="21"/>
        </w:rPr>
      </w:pPr>
    </w:p>
    <w:p w14:paraId="6D3076CF">
      <w:pPr>
        <w:spacing w:line="312" w:lineRule="auto"/>
        <w:jc w:val="center"/>
        <w:rPr>
          <w:rFonts w:hint="default" w:ascii="Times New Roman" w:hAnsi="Times New Roman" w:eastAsia="宋体" w:cs="Times New Roman"/>
          <w:sz w:val="21"/>
          <w:szCs w:val="21"/>
        </w:rPr>
      </w:pPr>
      <w:r>
        <w:drawing>
          <wp:inline distT="0" distB="0" distL="114300" distR="114300">
            <wp:extent cx="3302635" cy="1619885"/>
            <wp:effectExtent l="9525" t="9525" r="21590" b="27940"/>
            <wp:docPr id="5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8"/>
                    <pic:cNvPicPr>
                      <a:picLocks noChangeAspect="1"/>
                    </pic:cNvPicPr>
                  </pic:nvPicPr>
                  <pic:blipFill>
                    <a:blip r:embed="rId65"/>
                    <a:stretch>
                      <a:fillRect/>
                    </a:stretch>
                  </pic:blipFill>
                  <pic:spPr>
                    <a:xfrm>
                      <a:off x="0" y="0"/>
                      <a:ext cx="3302635" cy="1619885"/>
                    </a:xfrm>
                    <a:prstGeom prst="rect">
                      <a:avLst/>
                    </a:prstGeom>
                    <a:noFill/>
                    <a:ln>
                      <a:solidFill>
                        <a:schemeClr val="tx1"/>
                      </a:solidFill>
                    </a:ln>
                  </pic:spPr>
                </pic:pic>
              </a:graphicData>
            </a:graphic>
          </wp:inline>
        </w:drawing>
      </w:r>
    </w:p>
    <w:p w14:paraId="1993AD40">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2-16</w:t>
      </w:r>
      <w:r>
        <w:rPr>
          <w:rFonts w:ascii="Times New Roman" w:hAnsi="Times New Roman" w:eastAsia="黑体" w:cs="Calibri"/>
          <w:sz w:val="18"/>
          <w:szCs w:val="22"/>
        </w:rPr>
        <w:t xml:space="preserve"> 引物组合</w:t>
      </w:r>
      <w:r>
        <w:rPr>
          <w:rFonts w:hint="eastAsia" w:ascii="Times New Roman" w:hAnsi="Times New Roman" w:eastAsia="黑体" w:cs="Calibri"/>
          <w:sz w:val="18"/>
          <w:szCs w:val="22"/>
          <w:lang w:eastAsia="zh-CN"/>
        </w:rPr>
        <w:t>QY2569-42</w:t>
      </w:r>
      <w:r>
        <w:rPr>
          <w:rFonts w:ascii="Times New Roman" w:hAnsi="Times New Roman" w:eastAsia="黑体" w:cs="Calibri"/>
          <w:sz w:val="18"/>
          <w:szCs w:val="22"/>
        </w:rPr>
        <w:t>-F/</w:t>
      </w:r>
      <w:r>
        <w:rPr>
          <w:rFonts w:hint="eastAsia" w:ascii="Times New Roman" w:hAnsi="Times New Roman" w:eastAsia="黑体" w:cs="Calibri"/>
          <w:sz w:val="18"/>
          <w:szCs w:val="22"/>
          <w:lang w:eastAsia="zh-CN"/>
        </w:rPr>
        <w:t>QY2569-42</w:t>
      </w:r>
      <w:r>
        <w:rPr>
          <w:rFonts w:ascii="Times New Roman" w:hAnsi="Times New Roman" w:eastAsia="黑体" w:cs="Calibri"/>
          <w:sz w:val="18"/>
          <w:szCs w:val="22"/>
        </w:rPr>
        <w:t>-R扩增序列测序比对验证</w:t>
      </w:r>
    </w:p>
    <w:p w14:paraId="2202EB18">
      <w:pPr>
        <w:rPr>
          <w:rFonts w:hint="eastAsia"/>
          <w:lang w:eastAsia="zh-CN"/>
        </w:rPr>
      </w:pPr>
    </w:p>
    <w:p w14:paraId="439A824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普通PCR扩增产物的靶标序列如下：</w:t>
      </w:r>
    </w:p>
    <w:p w14:paraId="3C55AFF5">
      <w:pPr>
        <w:keepNext w:val="0"/>
        <w:keepLines w:val="0"/>
        <w:pageBreakBefore w:val="0"/>
        <w:widowControl w:val="0"/>
        <w:kinsoku/>
        <w:wordWrap/>
        <w:overflowPunct/>
        <w:topLinePunct w:val="0"/>
        <w:autoSpaceDE/>
        <w:autoSpaceDN/>
        <w:bidi w:val="0"/>
        <w:adjustRightInd/>
        <w:snapToGrid/>
        <w:spacing w:line="360" w:lineRule="auto"/>
        <w:ind w:left="210" w:leftChars="100"/>
        <w:jc w:val="left"/>
        <w:textAlignment w:val="auto"/>
        <w:rPr>
          <w:rFonts w:hint="eastAsia" w:ascii="Courier New" w:hAnsi="Courier New" w:eastAsia="宋体" w:cs="Courier New"/>
          <w:sz w:val="21"/>
          <w:szCs w:val="21"/>
          <w:highlight w:val="none"/>
          <w:lang w:val="zh-CN"/>
        </w:rPr>
      </w:pPr>
      <w:r>
        <w:rPr>
          <w:rFonts w:hint="eastAsia" w:ascii="Courier New" w:hAnsi="Courier New" w:eastAsia="宋体" w:cs="Courier New"/>
          <w:sz w:val="21"/>
          <w:szCs w:val="21"/>
          <w:highlight w:val="none"/>
          <w:lang w:val="zh-CN"/>
        </w:rPr>
        <w:t xml:space="preserve">1  </w:t>
      </w:r>
      <w:r>
        <w:rPr>
          <w:rFonts w:hint="eastAsia" w:ascii="Courier New" w:hAnsi="Courier New" w:eastAsia="宋体" w:cs="Courier New"/>
          <w:sz w:val="21"/>
          <w:szCs w:val="21"/>
          <w:highlight w:val="none"/>
          <w:u w:val="single"/>
          <w:lang w:val="zh-CN"/>
        </w:rPr>
        <w:t>AGATTGTCGT TTCCCGCCTT</w:t>
      </w:r>
      <w:r>
        <w:rPr>
          <w:rFonts w:hint="eastAsia" w:ascii="Courier New" w:hAnsi="Courier New" w:eastAsia="宋体" w:cs="Courier New"/>
          <w:sz w:val="21"/>
          <w:szCs w:val="21"/>
          <w:highlight w:val="none"/>
          <w:lang w:val="zh-CN"/>
        </w:rPr>
        <w:t xml:space="preserve"> CAGTTTAAAC TACGCGCGAA TTACAGTATG</w:t>
      </w:r>
    </w:p>
    <w:p w14:paraId="66AFBB60">
      <w:pPr>
        <w:keepNext w:val="0"/>
        <w:keepLines w:val="0"/>
        <w:pageBreakBefore w:val="0"/>
        <w:widowControl w:val="0"/>
        <w:kinsoku/>
        <w:wordWrap/>
        <w:overflowPunct/>
        <w:topLinePunct w:val="0"/>
        <w:autoSpaceDE/>
        <w:autoSpaceDN/>
        <w:bidi w:val="0"/>
        <w:adjustRightInd/>
        <w:snapToGrid/>
        <w:spacing w:line="360" w:lineRule="auto"/>
        <w:ind w:left="105" w:leftChars="50"/>
        <w:jc w:val="left"/>
        <w:textAlignment w:val="auto"/>
        <w:rPr>
          <w:rFonts w:hint="eastAsia" w:ascii="Courier New" w:hAnsi="Courier New" w:eastAsia="宋体" w:cs="Courier New"/>
          <w:sz w:val="21"/>
          <w:szCs w:val="21"/>
          <w:highlight w:val="none"/>
          <w:lang w:val="zh-CN"/>
        </w:rPr>
      </w:pPr>
      <w:r>
        <w:rPr>
          <w:rFonts w:hint="eastAsia" w:ascii="Courier New" w:hAnsi="Courier New" w:eastAsia="宋体" w:cs="Courier New"/>
          <w:sz w:val="21"/>
          <w:szCs w:val="21"/>
          <w:highlight w:val="none"/>
          <w:lang w:val="zh-CN"/>
        </w:rPr>
        <w:t>51  GTTTAAAACA TTCATAAGTT TTGCGTTTTA AATCCGATTT GATCCATTCA</w:t>
      </w:r>
    </w:p>
    <w:p w14:paraId="42F8D658">
      <w:pPr>
        <w:spacing w:line="360" w:lineRule="auto"/>
        <w:jc w:val="left"/>
        <w:rPr>
          <w:rFonts w:hint="eastAsia" w:ascii="Courier New" w:hAnsi="Courier New" w:eastAsia="宋体" w:cs="Courier New"/>
          <w:sz w:val="21"/>
          <w:szCs w:val="21"/>
          <w:highlight w:val="none"/>
          <w:lang w:val="zh-CN"/>
        </w:rPr>
      </w:pPr>
      <w:r>
        <w:rPr>
          <w:rFonts w:hint="eastAsia" w:ascii="Courier New" w:hAnsi="Courier New" w:eastAsia="宋体" w:cs="Courier New"/>
          <w:sz w:val="21"/>
          <w:szCs w:val="21"/>
          <w:highlight w:val="none"/>
          <w:lang w:val="zh-CN"/>
        </w:rPr>
        <w:t>101  AGTTGCGTTA GATTCGTATT AAAATAATCT TAATTTAGAA ATATTTATCC</w:t>
      </w:r>
    </w:p>
    <w:p w14:paraId="2CF8DFF9">
      <w:pPr>
        <w:spacing w:line="360" w:lineRule="auto"/>
        <w:jc w:val="left"/>
        <w:rPr>
          <w:rFonts w:hint="eastAsia" w:ascii="Courier New" w:hAnsi="Courier New" w:eastAsia="宋体" w:cs="Courier New"/>
          <w:sz w:val="21"/>
          <w:szCs w:val="21"/>
          <w:highlight w:val="none"/>
          <w:lang w:val="zh-CN"/>
        </w:rPr>
      </w:pPr>
      <w:r>
        <w:rPr>
          <w:rFonts w:hint="eastAsia" w:ascii="Courier New" w:hAnsi="Courier New" w:eastAsia="宋体" w:cs="Courier New"/>
          <w:sz w:val="21"/>
          <w:szCs w:val="21"/>
          <w:highlight w:val="none"/>
          <w:lang w:val="zh-CN"/>
        </w:rPr>
        <w:t>151  CAATTTTTGC ACATTTTATT TAATTTAGTT AAA</w:t>
      </w:r>
      <w:r>
        <w:rPr>
          <w:rFonts w:hint="eastAsia" w:ascii="Courier New" w:hAnsi="Courier New" w:eastAsia="宋体" w:cs="Courier New"/>
          <w:sz w:val="21"/>
          <w:szCs w:val="21"/>
          <w:highlight w:val="none"/>
          <w:u w:val="single"/>
          <w:lang w:val="zh-CN"/>
        </w:rPr>
        <w:t>CGTTTGT TTAACCAGTG</w:t>
      </w:r>
    </w:p>
    <w:p w14:paraId="7D45FE89">
      <w:pPr>
        <w:spacing w:line="360" w:lineRule="auto"/>
        <w:jc w:val="left"/>
        <w:rPr>
          <w:rFonts w:hint="default" w:ascii="Courier New" w:hAnsi="Courier New" w:eastAsia="宋体" w:cs="Courier New"/>
          <w:sz w:val="21"/>
          <w:szCs w:val="21"/>
          <w:highlight w:val="none"/>
          <w:u w:val="single"/>
        </w:rPr>
      </w:pPr>
      <w:r>
        <w:rPr>
          <w:rFonts w:hint="eastAsia" w:ascii="Courier New" w:hAnsi="Courier New" w:eastAsia="宋体" w:cs="Courier New"/>
          <w:sz w:val="21"/>
          <w:szCs w:val="21"/>
          <w:highlight w:val="none"/>
          <w:lang w:val="zh-CN"/>
        </w:rPr>
        <w:t xml:space="preserve">201  </w:t>
      </w:r>
      <w:r>
        <w:rPr>
          <w:rFonts w:hint="eastAsia" w:ascii="Courier New" w:hAnsi="Courier New" w:eastAsia="宋体" w:cs="Courier New"/>
          <w:sz w:val="21"/>
          <w:szCs w:val="21"/>
          <w:highlight w:val="none"/>
          <w:u w:val="single"/>
          <w:lang w:val="zh-CN"/>
        </w:rPr>
        <w:t>GCTACTAAA</w:t>
      </w:r>
    </w:p>
    <w:p w14:paraId="766F4EA0">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sz w:val="18"/>
          <w:szCs w:val="18"/>
        </w:rPr>
      </w:pPr>
      <w:r>
        <w:rPr>
          <w:rFonts w:hint="default" w:ascii="Times New Roman" w:hAnsi="Times New Roman" w:cs="Times New Roman"/>
          <w:sz w:val="18"/>
          <w:szCs w:val="18"/>
        </w:rPr>
        <w:t>注1：</w:t>
      </w:r>
      <w:r>
        <w:rPr>
          <w:rFonts w:hint="eastAsia" w:ascii="Times New Roman" w:hAnsi="Times New Roman" w:cs="Times New Roman"/>
          <w:sz w:val="18"/>
          <w:szCs w:val="18"/>
          <w:lang w:val="en-US" w:eastAsia="zh-CN"/>
        </w:rPr>
        <w:t>该序列为</w:t>
      </w:r>
      <w:r>
        <w:rPr>
          <w:rFonts w:hint="eastAsia" w:cs="Times New Roman"/>
          <w:sz w:val="18"/>
          <w:szCs w:val="18"/>
          <w:lang w:val="en-US" w:eastAsia="zh-CN"/>
        </w:rPr>
        <w:t>QY2569-42</w:t>
      </w:r>
      <w:r>
        <w:rPr>
          <w:rFonts w:hint="eastAsia" w:ascii="Times New Roman" w:hAnsi="Times New Roman" w:cs="Times New Roman"/>
          <w:sz w:val="18"/>
          <w:szCs w:val="18"/>
          <w:lang w:val="en-US" w:eastAsia="zh-CN"/>
        </w:rPr>
        <w:t>的3</w:t>
      </w: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端转化体特异性序列，</w:t>
      </w:r>
      <w:r>
        <w:rPr>
          <w:rFonts w:hint="eastAsia" w:ascii="Times New Roman" w:hAnsi="Times New Roman" w:cs="Times New Roman"/>
          <w:sz w:val="18"/>
          <w:szCs w:val="18"/>
        </w:rPr>
        <w:t>序列方向为</w:t>
      </w:r>
      <w:r>
        <w:rPr>
          <w:rFonts w:hint="default" w:ascii="Times New Roman" w:hAnsi="Times New Roman" w:cs="Times New Roman"/>
          <w:sz w:val="18"/>
          <w:szCs w:val="18"/>
        </w:rPr>
        <w:t>5′-3′</w:t>
      </w:r>
      <w:r>
        <w:rPr>
          <w:rFonts w:hint="eastAsia" w:ascii="Times New Roman" w:hAnsi="Times New Roman" w:cs="Times New Roman"/>
          <w:sz w:val="18"/>
          <w:szCs w:val="18"/>
        </w:rPr>
        <w:t>。</w:t>
      </w:r>
    </w:p>
    <w:p w14:paraId="5EA29325">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sz w:val="18"/>
          <w:szCs w:val="18"/>
        </w:rPr>
      </w:pPr>
      <w:r>
        <w:rPr>
          <w:rFonts w:hint="default" w:ascii="Times New Roman" w:hAnsi="Times New Roman" w:cs="Times New Roman"/>
          <w:sz w:val="18"/>
          <w:szCs w:val="18"/>
        </w:rPr>
        <w:t>注2：5′</w:t>
      </w:r>
      <w:r>
        <w:rPr>
          <w:rFonts w:hint="eastAsia" w:ascii="Times New Roman" w:hAnsi="Times New Roman" w:cs="Times New Roman"/>
          <w:sz w:val="18"/>
          <w:szCs w:val="18"/>
        </w:rPr>
        <w:t>端单下划线部分为普通PCR方法引物</w:t>
      </w:r>
      <w:r>
        <w:rPr>
          <w:rFonts w:hint="eastAsia" w:cs="Times New Roman"/>
          <w:sz w:val="18"/>
          <w:szCs w:val="18"/>
          <w:lang w:val="it-IT" w:eastAsia="zh-CN"/>
        </w:rPr>
        <w:t>QY2569-42</w:t>
      </w:r>
      <w:r>
        <w:rPr>
          <w:rFonts w:hint="default" w:ascii="Times New Roman" w:hAnsi="Times New Roman" w:cs="Times New Roman"/>
          <w:sz w:val="18"/>
          <w:szCs w:val="18"/>
        </w:rPr>
        <w:t>-F</w:t>
      </w:r>
      <w:r>
        <w:rPr>
          <w:rFonts w:hint="eastAsia" w:ascii="Times New Roman" w:hAnsi="Times New Roman" w:cs="Times New Roman"/>
          <w:sz w:val="18"/>
          <w:szCs w:val="18"/>
          <w:lang w:val="it-IT"/>
        </w:rPr>
        <w:t>的</w:t>
      </w:r>
      <w:r>
        <w:rPr>
          <w:rFonts w:hint="eastAsia" w:ascii="Times New Roman" w:hAnsi="Times New Roman" w:cs="Times New Roman"/>
          <w:sz w:val="18"/>
          <w:szCs w:val="18"/>
        </w:rPr>
        <w:t>序列，3</w:t>
      </w:r>
      <w:r>
        <w:rPr>
          <w:rFonts w:hint="default" w:ascii="Times New Roman" w:hAnsi="Times New Roman" w:cs="Times New Roman"/>
          <w:sz w:val="18"/>
          <w:szCs w:val="18"/>
        </w:rPr>
        <w:t>′</w:t>
      </w:r>
      <w:r>
        <w:rPr>
          <w:rFonts w:hint="eastAsia" w:ascii="Times New Roman" w:hAnsi="Times New Roman" w:cs="Times New Roman"/>
          <w:sz w:val="18"/>
          <w:szCs w:val="18"/>
        </w:rPr>
        <w:t>端单下划线部分为普通PCR方法引物</w:t>
      </w:r>
      <w:r>
        <w:rPr>
          <w:rFonts w:hint="eastAsia" w:cs="Times New Roman"/>
          <w:sz w:val="18"/>
          <w:szCs w:val="18"/>
          <w:lang w:val="it-IT" w:eastAsia="zh-CN"/>
        </w:rPr>
        <w:t>QY2569-42</w:t>
      </w:r>
      <w:r>
        <w:rPr>
          <w:rFonts w:hint="default" w:ascii="Times New Roman" w:hAnsi="Times New Roman" w:cs="Times New Roman"/>
          <w:sz w:val="18"/>
          <w:szCs w:val="18"/>
        </w:rPr>
        <w:t>-</w:t>
      </w:r>
      <w:r>
        <w:rPr>
          <w:rFonts w:hint="eastAsia" w:ascii="Times New Roman" w:hAnsi="Times New Roman" w:cs="Times New Roman"/>
          <w:sz w:val="18"/>
          <w:szCs w:val="18"/>
        </w:rPr>
        <w:t>R的反向互补序列。</w:t>
      </w:r>
    </w:p>
    <w:p w14:paraId="298C509D">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eastAsia="仿宋"/>
          <w:sz w:val="18"/>
          <w:szCs w:val="18"/>
        </w:rPr>
      </w:pPr>
      <w:r>
        <w:rPr>
          <w:rFonts w:hint="eastAsia" w:ascii="Times New Roman" w:hAnsi="Times New Roman" w:cs="Times New Roman"/>
          <w:sz w:val="18"/>
          <w:szCs w:val="18"/>
        </w:rPr>
        <w:t>注</w:t>
      </w:r>
      <w:r>
        <w:rPr>
          <w:rFonts w:hint="default" w:ascii="Times New Roman" w:hAnsi="Times New Roman" w:cs="Times New Roman"/>
          <w:sz w:val="18"/>
          <w:szCs w:val="18"/>
        </w:rPr>
        <w:t>3</w:t>
      </w:r>
      <w:r>
        <w:rPr>
          <w:rFonts w:hint="eastAsia" w:ascii="Times New Roman" w:hAnsi="Times New Roman" w:cs="Times New Roman"/>
          <w:sz w:val="18"/>
          <w:szCs w:val="18"/>
        </w:rPr>
        <w:t>：</w:t>
      </w:r>
      <w:r>
        <w:rPr>
          <w:rFonts w:hint="default" w:ascii="Times New Roman" w:hAnsi="Times New Roman" w:cs="Times New Roman"/>
          <w:sz w:val="18"/>
          <w:szCs w:val="18"/>
        </w:rPr>
        <w:t>1~</w:t>
      </w:r>
      <w:r>
        <w:rPr>
          <w:rFonts w:hint="eastAsia" w:cs="Times New Roman"/>
          <w:sz w:val="18"/>
          <w:szCs w:val="18"/>
          <w:lang w:val="en-US" w:eastAsia="zh-CN"/>
        </w:rPr>
        <w:t>31</w:t>
      </w:r>
      <w:r>
        <w:rPr>
          <w:rFonts w:hint="default" w:ascii="Times New Roman" w:hAnsi="Times New Roman" w:cs="Times New Roman"/>
          <w:sz w:val="18"/>
          <w:szCs w:val="18"/>
        </w:rPr>
        <w:t>为外源插入片段部分序列，</w:t>
      </w:r>
      <w:r>
        <w:rPr>
          <w:rFonts w:hint="eastAsia" w:cs="Times New Roman"/>
          <w:sz w:val="18"/>
          <w:szCs w:val="18"/>
          <w:lang w:val="en-US" w:eastAsia="zh-CN"/>
        </w:rPr>
        <w:t>32</w:t>
      </w: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2</w:t>
      </w:r>
      <w:r>
        <w:rPr>
          <w:rFonts w:hint="eastAsia" w:cs="Times New Roman"/>
          <w:sz w:val="18"/>
          <w:szCs w:val="18"/>
          <w:lang w:val="en-US" w:eastAsia="zh-CN"/>
        </w:rPr>
        <w:t>09</w:t>
      </w:r>
      <w:r>
        <w:rPr>
          <w:rFonts w:hint="default" w:ascii="Times New Roman" w:hAnsi="Times New Roman" w:cs="Times New Roman"/>
          <w:sz w:val="18"/>
          <w:szCs w:val="18"/>
        </w:rPr>
        <w:t>为玉米基因组部分序列。</w:t>
      </w:r>
    </w:p>
    <w:p w14:paraId="79DF059A">
      <w:pPr>
        <w:pStyle w:val="4"/>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5. 引物的确定</w:t>
      </w:r>
    </w:p>
    <w:p w14:paraId="70340A8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cs="Times New Roman"/>
          <w:szCs w:val="22"/>
        </w:rPr>
        <w:t>根据测试结果，确定抗虫耐除草剂玉米</w:t>
      </w:r>
      <w:r>
        <w:rPr>
          <w:rFonts w:hint="eastAsia" w:cs="Times New Roman"/>
          <w:szCs w:val="22"/>
          <w:lang w:eastAsia="zh-CN"/>
        </w:rPr>
        <w:t>QY2569-42</w:t>
      </w:r>
      <w:r>
        <w:rPr>
          <w:rFonts w:hint="default" w:ascii="Times New Roman" w:hAnsi="Times New Roman" w:cs="Times New Roman"/>
          <w:szCs w:val="22"/>
        </w:rPr>
        <w:t>转化体特异性序列普通PCR检测使用的引物：</w:t>
      </w:r>
    </w:p>
    <w:p w14:paraId="29E4FFD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lang w:val="it-IT" w:eastAsia="zh-CN"/>
        </w:rPr>
        <w:t>-F：5′-</w:t>
      </w:r>
      <w:r>
        <w:rPr>
          <w:rFonts w:hint="default" w:ascii="Times New Roman" w:hAnsi="Times New Roman" w:eastAsia="宋体" w:cs="Times New Roman"/>
          <w:sz w:val="21"/>
          <w:szCs w:val="21"/>
          <w:lang w:eastAsia="zh-CN"/>
        </w:rPr>
        <w:t>AGATTGTCGTTTCCCGCCTT</w:t>
      </w:r>
      <w:r>
        <w:rPr>
          <w:rFonts w:hint="default" w:ascii="Times New Roman" w:hAnsi="Times New Roman" w:eastAsia="宋体" w:cs="Times New Roman"/>
          <w:sz w:val="21"/>
          <w:szCs w:val="21"/>
          <w:lang w:val="it-IT" w:eastAsia="zh-CN"/>
        </w:rPr>
        <w:t>-3′；</w:t>
      </w:r>
    </w:p>
    <w:p w14:paraId="7AEC3A3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-R</w:t>
      </w:r>
      <w:r>
        <w:rPr>
          <w:rFonts w:hint="default" w:ascii="Times New Roman" w:hAnsi="Times New Roman" w:eastAsia="宋体" w:cs="Times New Roman"/>
          <w:sz w:val="21"/>
          <w:szCs w:val="21"/>
          <w:lang w:eastAsia="zh-CN"/>
        </w:rPr>
        <w:t>：5′-TTTAGTAGCCACTGGTTAAACAAACG</w:t>
      </w:r>
      <w:r>
        <w:rPr>
          <w:rFonts w:hint="default" w:ascii="Times New Roman" w:hAnsi="Times New Roman" w:eastAsia="宋体" w:cs="Times New Roman"/>
          <w:sz w:val="21"/>
          <w:szCs w:val="21"/>
          <w:lang w:val="it-IT" w:eastAsia="zh-CN"/>
        </w:rPr>
        <w:t>-</w:t>
      </w:r>
      <w:r>
        <w:rPr>
          <w:rFonts w:hint="default" w:ascii="Times New Roman" w:hAnsi="Times New Roman" w:eastAsia="宋体" w:cs="Times New Roman"/>
          <w:sz w:val="21"/>
          <w:szCs w:val="21"/>
          <w:lang w:eastAsia="zh-CN"/>
        </w:rPr>
        <w:t>3′。</w:t>
      </w:r>
    </w:p>
    <w:p w14:paraId="0DFE219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Times New Roman"/>
          <w:szCs w:val="22"/>
          <w:lang w:val="it-IT" w:eastAsia="zh-CN"/>
        </w:rPr>
      </w:pPr>
      <w:r>
        <w:rPr>
          <w:rFonts w:hint="default" w:ascii="Times New Roman" w:hAnsi="Times New Roman" w:eastAsia="宋体" w:cs="Times New Roman"/>
          <w:sz w:val="21"/>
          <w:szCs w:val="21"/>
        </w:rPr>
        <w:t>预期扩增片段大小为</w:t>
      </w:r>
      <w:r>
        <w:rPr>
          <w:rFonts w:hint="default" w:ascii="Times New Roman" w:hAnsi="Times New Roman" w:eastAsia="宋体" w:cs="Times New Roman"/>
          <w:sz w:val="21"/>
          <w:szCs w:val="21"/>
          <w:lang w:val="en-US" w:eastAsia="zh-CN"/>
        </w:rPr>
        <w:t>209</w:t>
      </w:r>
      <w:r>
        <w:rPr>
          <w:rFonts w:hint="default" w:ascii="Times New Roman" w:hAnsi="Times New Roman" w:eastAsia="宋体" w:cs="Times New Roman"/>
          <w:sz w:val="21"/>
          <w:szCs w:val="21"/>
        </w:rPr>
        <w:t xml:space="preserve"> bp。</w:t>
      </w:r>
    </w:p>
    <w:p w14:paraId="3496809E">
      <w:pPr>
        <w:pStyle w:val="4"/>
        <w:keepNext/>
        <w:keepLines/>
        <w:pageBreakBefore w:val="0"/>
        <w:widowControl w:val="0"/>
        <w:numPr>
          <w:ilvl w:val="0"/>
          <w:numId w:val="4"/>
        </w:numPr>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检出限的测试</w:t>
      </w:r>
    </w:p>
    <w:p w14:paraId="23D39F90">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6.1 检出限的要求</w:t>
      </w:r>
    </w:p>
    <w:p w14:paraId="20AE62E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eastAsia="仿宋"/>
          <w:sz w:val="48"/>
          <w:szCs w:val="48"/>
        </w:rPr>
      </w:pPr>
      <w:r>
        <w:rPr>
          <w:rFonts w:hint="default" w:ascii="Times New Roman" w:hAnsi="Times New Roman" w:cs="Times New Roman"/>
          <w:szCs w:val="22"/>
        </w:rPr>
        <w:t>依据ENGL-GMFF 2015对检出限测试的要求，根据检出限（灵敏度）测试结果，确定能够连续60次稳定检出的最低浓度作为该方法的检出限。</w:t>
      </w:r>
    </w:p>
    <w:p w14:paraId="2DD91252">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6.2 检出限的初步测试样品设定要求</w:t>
      </w:r>
    </w:p>
    <w:p w14:paraId="48EACBD0">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rPr>
      </w:pPr>
      <w:r>
        <w:rPr>
          <w:rFonts w:hint="default" w:ascii="Times New Roman" w:hAnsi="Times New Roman" w:cs="Times New Roman"/>
          <w:szCs w:val="22"/>
        </w:rPr>
        <w:t>检出限测试时，样品的设置必须包含的3个样品为：相对含量是转基因拷贝数含量浓度是0.</w:t>
      </w:r>
      <w:r>
        <w:rPr>
          <w:rFonts w:hint="eastAsia" w:ascii="Times New Roman" w:hAnsi="Times New Roman" w:cs="Times New Roman"/>
          <w:szCs w:val="22"/>
        </w:rPr>
        <w:t>1</w:t>
      </w:r>
      <w:r>
        <w:rPr>
          <w:rFonts w:hint="default" w:ascii="Times New Roman" w:hAnsi="Times New Roman" w:cs="Times New Roman"/>
          <w:szCs w:val="22"/>
        </w:rPr>
        <w:t>%、0.05%和空白</w:t>
      </w:r>
      <w:r>
        <w:rPr>
          <w:rFonts w:hint="eastAsia" w:ascii="Times New Roman" w:hAnsi="Times New Roman" w:cs="Times New Roman"/>
          <w:szCs w:val="22"/>
        </w:rPr>
        <w:t>质控品</w:t>
      </w:r>
      <w:r>
        <w:rPr>
          <w:rFonts w:hint="default" w:ascii="Times New Roman" w:hAnsi="Times New Roman" w:cs="Times New Roman"/>
          <w:szCs w:val="22"/>
        </w:rPr>
        <w:t>。</w:t>
      </w:r>
    </w:p>
    <w:p w14:paraId="3B106DC0">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6.3 测试样品的初始化浓度</w:t>
      </w:r>
    </w:p>
    <w:p w14:paraId="044890B8">
      <w:pPr>
        <w:spacing w:line="312" w:lineRule="auto"/>
        <w:ind w:firstLine="420" w:firstLineChars="200"/>
        <w:rPr>
          <w:rFonts w:hint="default" w:ascii="Times New Roman" w:hAnsi="Times New Roman" w:cs="Times New Roman"/>
          <w:szCs w:val="22"/>
        </w:rPr>
      </w:pPr>
      <w:r>
        <w:rPr>
          <w:rFonts w:hint="default" w:ascii="Times New Roman" w:hAnsi="Times New Roman" w:cs="Times New Roman"/>
          <w:szCs w:val="22"/>
        </w:rPr>
        <w:t>将提取的</w:t>
      </w:r>
      <w:r>
        <w:rPr>
          <w:rFonts w:hint="eastAsia" w:cs="Times New Roman"/>
          <w:szCs w:val="22"/>
          <w:lang w:eastAsia="zh-CN"/>
        </w:rPr>
        <w:t>QY2569-42</w:t>
      </w:r>
      <w:r>
        <w:rPr>
          <w:rFonts w:hint="default" w:ascii="Times New Roman" w:hAnsi="Times New Roman" w:cs="Times New Roman"/>
          <w:szCs w:val="22"/>
        </w:rPr>
        <w:t>转化体及其非转基因对照的基因组DNA用0.1×TE稀释成</w:t>
      </w:r>
      <w:r>
        <w:rPr>
          <w:rFonts w:hint="eastAsia" w:ascii="Times New Roman" w:hAnsi="Times New Roman" w:cs="Times New Roman"/>
          <w:szCs w:val="22"/>
          <w:lang w:val="en-US" w:eastAsia="zh-CN"/>
        </w:rPr>
        <w:t>50</w:t>
      </w:r>
      <w:r>
        <w:rPr>
          <w:rFonts w:hint="default" w:ascii="Times New Roman" w:hAnsi="Times New Roman" w:cs="Times New Roman"/>
          <w:szCs w:val="22"/>
        </w:rPr>
        <w:t xml:space="preserve"> ng/µL（并换算成拷贝数浓度</w:t>
      </w:r>
      <w:r>
        <w:rPr>
          <w:rFonts w:hint="eastAsia" w:ascii="Times New Roman" w:hAnsi="Times New Roman" w:cs="Times New Roman"/>
          <w:szCs w:val="22"/>
          <w:lang w:val="en-US" w:eastAsia="zh-CN"/>
        </w:rPr>
        <w:t>2</w:t>
      </w:r>
      <w:r>
        <w:rPr>
          <w:rFonts w:hint="default" w:ascii="Times New Roman" w:hAnsi="Times New Roman" w:cs="Times New Roman"/>
          <w:szCs w:val="22"/>
        </w:rPr>
        <w:t>0000 copies/µL），确保体系中加入2 µL样品后DNA模板量为</w:t>
      </w:r>
      <w:r>
        <w:rPr>
          <w:rFonts w:hint="eastAsia" w:ascii="Times New Roman" w:hAnsi="Times New Roman" w:cs="Times New Roman"/>
          <w:szCs w:val="22"/>
          <w:lang w:val="en-US" w:eastAsia="zh-CN"/>
        </w:rPr>
        <w:t>10</w:t>
      </w:r>
      <w:r>
        <w:rPr>
          <w:rFonts w:hint="default" w:ascii="Times New Roman" w:hAnsi="Times New Roman" w:cs="Times New Roman"/>
          <w:szCs w:val="22"/>
        </w:rPr>
        <w:t>0 ng。</w:t>
      </w:r>
    </w:p>
    <w:p w14:paraId="7959F17F">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6.4 检出限测试样品的配制、初步测试</w:t>
      </w:r>
    </w:p>
    <w:p w14:paraId="6E6B2EAD">
      <w:pPr>
        <w:spacing w:line="312" w:lineRule="auto"/>
        <w:ind w:firstLine="420" w:firstLineChars="200"/>
        <w:rPr>
          <w:rFonts w:hint="default" w:ascii="Times New Roman" w:hAnsi="Times New Roman" w:cs="Times New Roman"/>
          <w:szCs w:val="22"/>
        </w:rPr>
      </w:pPr>
      <w:r>
        <w:rPr>
          <w:rFonts w:hint="default" w:ascii="Times New Roman" w:hAnsi="Times New Roman" w:cs="Times New Roman"/>
          <w:szCs w:val="22"/>
        </w:rPr>
        <w:t>将</w:t>
      </w:r>
      <w:r>
        <w:rPr>
          <w:rFonts w:hint="eastAsia" w:ascii="Times New Roman" w:hAnsi="Times New Roman" w:cs="Times New Roman"/>
          <w:szCs w:val="22"/>
          <w:lang w:val="en-US" w:eastAsia="zh-CN"/>
        </w:rPr>
        <w:t>50</w:t>
      </w:r>
      <w:r>
        <w:rPr>
          <w:rFonts w:hint="default" w:ascii="Times New Roman" w:hAnsi="Times New Roman" w:cs="Times New Roman"/>
          <w:szCs w:val="22"/>
        </w:rPr>
        <w:t xml:space="preserve"> ng/µL的</w:t>
      </w:r>
      <w:r>
        <w:rPr>
          <w:rFonts w:hint="eastAsia" w:cs="Times New Roman"/>
          <w:szCs w:val="22"/>
          <w:lang w:eastAsia="zh-CN"/>
        </w:rPr>
        <w:t>QY2569-42</w:t>
      </w:r>
      <w:r>
        <w:rPr>
          <w:rFonts w:hint="default" w:ascii="Times New Roman" w:hAnsi="Times New Roman" w:cs="Times New Roman"/>
          <w:szCs w:val="22"/>
        </w:rPr>
        <w:t>转化体基因组DNA，用</w:t>
      </w:r>
      <w:r>
        <w:rPr>
          <w:rFonts w:hint="eastAsia" w:ascii="Times New Roman" w:hAnsi="Times New Roman" w:cs="Times New Roman"/>
          <w:szCs w:val="22"/>
          <w:lang w:val="en-US" w:eastAsia="zh-CN"/>
        </w:rPr>
        <w:t>50</w:t>
      </w:r>
      <w:r>
        <w:rPr>
          <w:rFonts w:hint="default" w:ascii="Times New Roman" w:hAnsi="Times New Roman" w:cs="Times New Roman"/>
          <w:szCs w:val="22"/>
        </w:rPr>
        <w:t xml:space="preserve"> ng/µL的非转基因玉米基因组DNA，梯度稀释成</w:t>
      </w:r>
      <w:r>
        <w:rPr>
          <w:rFonts w:hint="eastAsia" w:cs="Times New Roman"/>
          <w:szCs w:val="22"/>
          <w:lang w:eastAsia="zh-CN"/>
        </w:rPr>
        <w:t>QY2569-42</w:t>
      </w:r>
      <w:r>
        <w:rPr>
          <w:rFonts w:hint="default" w:ascii="Times New Roman" w:hAnsi="Times New Roman" w:cs="Times New Roman"/>
          <w:szCs w:val="22"/>
        </w:rPr>
        <w:t>转化体拷贝数比值为100%、10%、5%、1%、0.1%、0.05%、0%共7个测试样品，对应的转化体拷贝数浓度</w:t>
      </w:r>
      <w:r>
        <w:rPr>
          <w:rFonts w:hint="eastAsia" w:cs="Times New Roman"/>
          <w:szCs w:val="22"/>
          <w:lang w:val="en-US" w:eastAsia="zh-CN"/>
        </w:rPr>
        <w:t>2</w:t>
      </w:r>
      <w:r>
        <w:rPr>
          <w:rFonts w:hint="default" w:ascii="Times New Roman" w:hAnsi="Times New Roman" w:cs="Times New Roman"/>
          <w:szCs w:val="22"/>
        </w:rPr>
        <w:t>0000、</w:t>
      </w:r>
      <w:r>
        <w:rPr>
          <w:rFonts w:hint="eastAsia" w:cs="Times New Roman"/>
          <w:szCs w:val="22"/>
          <w:lang w:val="en-US" w:eastAsia="zh-CN"/>
        </w:rPr>
        <w:t>2</w:t>
      </w:r>
      <w:r>
        <w:rPr>
          <w:rFonts w:hint="default" w:ascii="Times New Roman" w:hAnsi="Times New Roman" w:cs="Times New Roman"/>
          <w:szCs w:val="22"/>
        </w:rPr>
        <w:t>000、</w:t>
      </w:r>
      <w:r>
        <w:rPr>
          <w:rFonts w:hint="eastAsia" w:cs="Times New Roman"/>
          <w:szCs w:val="22"/>
          <w:lang w:val="en-US" w:eastAsia="zh-CN"/>
        </w:rPr>
        <w:t>10</w:t>
      </w:r>
      <w:r>
        <w:rPr>
          <w:rFonts w:hint="default" w:ascii="Times New Roman" w:hAnsi="Times New Roman" w:cs="Times New Roman"/>
          <w:szCs w:val="22"/>
        </w:rPr>
        <w:t>00、</w:t>
      </w:r>
      <w:r>
        <w:rPr>
          <w:rFonts w:hint="eastAsia" w:cs="Times New Roman"/>
          <w:szCs w:val="22"/>
          <w:lang w:val="en-US" w:eastAsia="zh-CN"/>
        </w:rPr>
        <w:t>5</w:t>
      </w:r>
      <w:r>
        <w:rPr>
          <w:rFonts w:hint="default" w:ascii="Times New Roman" w:hAnsi="Times New Roman" w:cs="Times New Roman"/>
          <w:szCs w:val="22"/>
        </w:rPr>
        <w:t>00、</w:t>
      </w:r>
      <w:r>
        <w:rPr>
          <w:rFonts w:hint="eastAsia" w:cs="Times New Roman"/>
          <w:szCs w:val="22"/>
          <w:lang w:val="en-US" w:eastAsia="zh-CN"/>
        </w:rPr>
        <w:t>2</w:t>
      </w:r>
      <w:r>
        <w:rPr>
          <w:rFonts w:hint="default" w:ascii="Times New Roman" w:hAnsi="Times New Roman" w:cs="Times New Roman"/>
          <w:szCs w:val="22"/>
        </w:rPr>
        <w:t>0、</w:t>
      </w:r>
      <w:r>
        <w:rPr>
          <w:rFonts w:hint="eastAsia" w:cs="Times New Roman"/>
          <w:szCs w:val="22"/>
          <w:lang w:val="en-US" w:eastAsia="zh-CN"/>
        </w:rPr>
        <w:t>10</w:t>
      </w:r>
      <w:r>
        <w:rPr>
          <w:rFonts w:hint="default" w:ascii="Times New Roman" w:hAnsi="Times New Roman" w:cs="Times New Roman"/>
          <w:szCs w:val="22"/>
        </w:rPr>
        <w:t>copies/µL。反应体系中加入2 µL测试样品，每个测试样品3个反应。</w:t>
      </w:r>
    </w:p>
    <w:p w14:paraId="58E7F4CE">
      <w:pPr>
        <w:spacing w:line="312" w:lineRule="auto"/>
        <w:ind w:firstLine="420" w:firstLineChars="200"/>
        <w:rPr>
          <w:rFonts w:hint="default" w:ascii="Times New Roman" w:hAnsi="Times New Roman" w:cs="Times New Roman"/>
          <w:szCs w:val="22"/>
        </w:rPr>
      </w:pPr>
      <w:r>
        <w:rPr>
          <w:rFonts w:hint="default" w:ascii="Times New Roman" w:hAnsi="Times New Roman" w:cs="Times New Roman"/>
          <w:szCs w:val="22"/>
        </w:rPr>
        <w:t>测试结果表明，拷贝数比值为0.</w:t>
      </w:r>
      <w:r>
        <w:rPr>
          <w:rFonts w:hint="eastAsia" w:cs="Times New Roman"/>
          <w:szCs w:val="22"/>
          <w:lang w:val="en-US" w:eastAsia="zh-CN"/>
        </w:rPr>
        <w:t>05</w:t>
      </w:r>
      <w:r>
        <w:rPr>
          <w:rFonts w:hint="default" w:ascii="Times New Roman" w:hAnsi="Times New Roman" w:cs="Times New Roman"/>
          <w:szCs w:val="22"/>
        </w:rPr>
        <w:t>%及以上的模板中，均能扩增得到抗虫耐除草剂玉米</w:t>
      </w:r>
      <w:r>
        <w:rPr>
          <w:rFonts w:hint="eastAsia" w:cs="Times New Roman"/>
          <w:szCs w:val="22"/>
          <w:lang w:eastAsia="zh-CN"/>
        </w:rPr>
        <w:t>QY2569-42</w:t>
      </w:r>
      <w:r>
        <w:rPr>
          <w:rFonts w:hint="default" w:ascii="Times New Roman" w:hAnsi="Times New Roman" w:cs="Times New Roman"/>
          <w:szCs w:val="22"/>
        </w:rPr>
        <w:t>转化体预期</w:t>
      </w:r>
      <w:r>
        <w:rPr>
          <w:rFonts w:hint="eastAsia" w:ascii="Times New Roman" w:hAnsi="Times New Roman" w:cs="Times New Roman"/>
          <w:szCs w:val="22"/>
          <w:lang w:val="en-US" w:eastAsia="zh-CN"/>
        </w:rPr>
        <w:t>2</w:t>
      </w:r>
      <w:r>
        <w:rPr>
          <w:rFonts w:hint="eastAsia" w:cs="Times New Roman"/>
          <w:szCs w:val="22"/>
          <w:lang w:val="en-US" w:eastAsia="zh-CN"/>
        </w:rPr>
        <w:t>09</w:t>
      </w:r>
      <w:r>
        <w:rPr>
          <w:rFonts w:hint="default" w:ascii="Times New Roman" w:hAnsi="Times New Roman" w:cs="Times New Roman"/>
          <w:szCs w:val="22"/>
        </w:rPr>
        <w:t xml:space="preserve"> bp的DNA片段，如图</w:t>
      </w:r>
      <w:r>
        <w:rPr>
          <w:rFonts w:hint="eastAsia" w:cs="Times New Roman"/>
          <w:szCs w:val="22"/>
          <w:lang w:val="en-US" w:eastAsia="zh-CN"/>
        </w:rPr>
        <w:t>2-17</w:t>
      </w:r>
      <w:r>
        <w:rPr>
          <w:rFonts w:hint="default" w:ascii="Times New Roman" w:hAnsi="Times New Roman" w:cs="Times New Roman"/>
          <w:szCs w:val="22"/>
        </w:rPr>
        <w:t>，为了能够稳定检出</w:t>
      </w:r>
      <w:r>
        <w:rPr>
          <w:rFonts w:hint="eastAsia" w:cs="Times New Roman"/>
          <w:szCs w:val="22"/>
          <w:lang w:eastAsia="zh-CN"/>
        </w:rPr>
        <w:t>QY2569-42</w:t>
      </w:r>
      <w:r>
        <w:rPr>
          <w:rFonts w:hint="default" w:ascii="Times New Roman" w:hAnsi="Times New Roman" w:cs="Times New Roman"/>
          <w:szCs w:val="22"/>
        </w:rPr>
        <w:t>，初步确定本方法检出限为0.1%。</w:t>
      </w:r>
    </w:p>
    <w:p w14:paraId="086197CC">
      <w:pPr>
        <w:pStyle w:val="22"/>
        <w:spacing w:line="240" w:lineRule="auto"/>
        <w:jc w:val="center"/>
        <w:rPr>
          <w:rFonts w:ascii="Times New Roman" w:eastAsia="仿宋"/>
          <w:b/>
          <w:bCs/>
          <w:kern w:val="2"/>
          <w:szCs w:val="21"/>
        </w:rPr>
      </w:pPr>
      <w:r>
        <w:rPr>
          <w:rFonts w:hint="default" w:ascii="Times New Roman" w:hAnsi="Times New Roman" w:eastAsia="宋体" w:cs="Times New Roman"/>
          <w:sz w:val="21"/>
          <w:szCs w:val="21"/>
        </w:rPr>
        <w:drawing>
          <wp:inline distT="0" distB="0" distL="114300" distR="114300">
            <wp:extent cx="4319905" cy="1332230"/>
            <wp:effectExtent l="0" t="0" r="4445" b="1270"/>
            <wp:docPr id="16" name="图片 6"/>
            <wp:cNvGraphicFramePr/>
            <a:graphic xmlns:a="http://schemas.openxmlformats.org/drawingml/2006/main">
              <a:graphicData uri="http://schemas.openxmlformats.org/drawingml/2006/picture">
                <pic:pic xmlns:pic="http://schemas.openxmlformats.org/drawingml/2006/picture">
                  <pic:nvPicPr>
                    <pic:cNvPr id="16" name="图片 6"/>
                    <pic:cNvPicPr/>
                  </pic:nvPicPr>
                  <pic:blipFill>
                    <a:blip r:embed="rId66"/>
                    <a:stretch>
                      <a:fillRect/>
                    </a:stretch>
                  </pic:blipFill>
                  <pic:spPr>
                    <a:xfrm>
                      <a:off x="0" y="0"/>
                      <a:ext cx="4319905" cy="1332230"/>
                    </a:xfrm>
                    <a:prstGeom prst="rect">
                      <a:avLst/>
                    </a:prstGeom>
                    <a:noFill/>
                    <a:ln>
                      <a:noFill/>
                    </a:ln>
                  </pic:spPr>
                </pic:pic>
              </a:graphicData>
            </a:graphic>
          </wp:inline>
        </w:drawing>
      </w:r>
    </w:p>
    <w:p w14:paraId="3A5BD866">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2-17</w:t>
      </w:r>
      <w:r>
        <w:rPr>
          <w:rFonts w:ascii="Times New Roman" w:hAnsi="Times New Roman" w:eastAsia="黑体" w:cs="Calibri"/>
          <w:sz w:val="18"/>
          <w:szCs w:val="22"/>
        </w:rPr>
        <w:t xml:space="preserve"> 检出限初步测试结果</w:t>
      </w:r>
    </w:p>
    <w:p w14:paraId="03933D04">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M：100 bp DNA Ladder</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1</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 xml:space="preserve">100% </w:t>
      </w:r>
      <w:r>
        <w:rPr>
          <w:rFonts w:hint="eastAsia" w:cs="Times New Roman"/>
          <w:sz w:val="18"/>
          <w:szCs w:val="18"/>
          <w:lang w:eastAsia="zh-CN"/>
        </w:rPr>
        <w:t>QY2569-42</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4-6</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 xml:space="preserve">10% </w:t>
      </w:r>
      <w:r>
        <w:rPr>
          <w:rFonts w:hint="eastAsia" w:cs="Times New Roman"/>
          <w:sz w:val="18"/>
          <w:szCs w:val="18"/>
          <w:lang w:eastAsia="zh-CN"/>
        </w:rPr>
        <w:t>QY2569-42</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7-9</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 xml:space="preserve">1% </w:t>
      </w:r>
      <w:r>
        <w:rPr>
          <w:rFonts w:hint="eastAsia" w:cs="Times New Roman"/>
          <w:sz w:val="18"/>
          <w:szCs w:val="18"/>
          <w:lang w:eastAsia="zh-CN"/>
        </w:rPr>
        <w:t>QY2569-42</w:t>
      </w:r>
      <w:r>
        <w:rPr>
          <w:rFonts w:hint="default" w:ascii="Times New Roman" w:hAnsi="Times New Roman" w:eastAsia="宋体" w:cs="Times New Roman"/>
          <w:sz w:val="18"/>
          <w:szCs w:val="18"/>
        </w:rPr>
        <w:t>；</w:t>
      </w:r>
    </w:p>
    <w:p w14:paraId="01943C29">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10-12</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 xml:space="preserve">0.5% </w:t>
      </w:r>
      <w:r>
        <w:rPr>
          <w:rFonts w:hint="eastAsia" w:cs="Times New Roman"/>
          <w:sz w:val="18"/>
          <w:szCs w:val="18"/>
          <w:lang w:eastAsia="zh-CN"/>
        </w:rPr>
        <w:t>QY2569-42</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13-15</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 xml:space="preserve">0.1% </w:t>
      </w:r>
      <w:r>
        <w:rPr>
          <w:rFonts w:hint="eastAsia" w:cs="Times New Roman"/>
          <w:sz w:val="18"/>
          <w:szCs w:val="18"/>
          <w:lang w:eastAsia="zh-CN"/>
        </w:rPr>
        <w:t>QY2569-42</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16-18</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 xml:space="preserve">0.05% </w:t>
      </w:r>
      <w:r>
        <w:rPr>
          <w:rFonts w:hint="eastAsia" w:cs="Times New Roman"/>
          <w:sz w:val="18"/>
          <w:szCs w:val="18"/>
          <w:lang w:eastAsia="zh-CN"/>
        </w:rPr>
        <w:t>QY2569-42</w:t>
      </w:r>
      <w:r>
        <w:rPr>
          <w:rFonts w:hint="default" w:ascii="Times New Roman" w:hAnsi="Times New Roman" w:eastAsia="宋体" w:cs="Times New Roman"/>
          <w:sz w:val="18"/>
          <w:szCs w:val="18"/>
          <w:lang w:eastAsia="zh-CN"/>
        </w:rPr>
        <w:t>；</w:t>
      </w:r>
    </w:p>
    <w:p w14:paraId="404AD07E">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eastAsia="仿宋"/>
        </w:rPr>
      </w:pPr>
      <w:r>
        <w:rPr>
          <w:rFonts w:hint="default" w:ascii="Times New Roman" w:hAnsi="Times New Roman" w:eastAsia="宋体" w:cs="Times New Roman"/>
          <w:sz w:val="18"/>
          <w:szCs w:val="18"/>
          <w:lang w:val="en-US" w:eastAsia="zh-CN"/>
        </w:rPr>
        <w:t>19-21</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eastAsia="zh-CN"/>
        </w:rPr>
        <w:t>阴性</w:t>
      </w:r>
      <w:r>
        <w:rPr>
          <w:rFonts w:hint="eastAsia" w:cs="Times New Roman"/>
          <w:sz w:val="18"/>
          <w:szCs w:val="18"/>
          <w:lang w:eastAsia="zh-CN"/>
        </w:rPr>
        <w:t>质控品</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22-24</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eastAsia="zh-CN"/>
        </w:rPr>
        <w:t>空白</w:t>
      </w:r>
      <w:r>
        <w:rPr>
          <w:rFonts w:hint="eastAsia" w:cs="Times New Roman"/>
          <w:sz w:val="18"/>
          <w:szCs w:val="18"/>
          <w:lang w:eastAsia="zh-CN"/>
        </w:rPr>
        <w:t>质控品</w:t>
      </w:r>
    </w:p>
    <w:p w14:paraId="447A0AF0">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6.5 检出限的确定</w:t>
      </w:r>
    </w:p>
    <w:p w14:paraId="2857D351">
      <w:pPr>
        <w:spacing w:line="312" w:lineRule="auto"/>
        <w:ind w:firstLine="420" w:firstLineChars="200"/>
        <w:rPr>
          <w:rFonts w:hint="default" w:ascii="Times New Roman" w:hAnsi="Times New Roman" w:cs="Times New Roman"/>
          <w:szCs w:val="22"/>
        </w:rPr>
      </w:pPr>
      <w:r>
        <w:rPr>
          <w:rFonts w:hint="default" w:ascii="Times New Roman" w:hAnsi="Times New Roman" w:cs="Times New Roman"/>
          <w:szCs w:val="22"/>
        </w:rPr>
        <w:t>依据检出限初步测试结果，综合考虑本标准在使用时的稳定性和适用性，依据ENGL-GMFF 2015对检出限测试的要求，随机抽取60份抗虫耐除草剂玉米</w:t>
      </w:r>
      <w:r>
        <w:rPr>
          <w:rFonts w:hint="eastAsia" w:cs="Times New Roman"/>
          <w:szCs w:val="22"/>
          <w:lang w:eastAsia="zh-CN"/>
        </w:rPr>
        <w:t>QY2569-42</w:t>
      </w:r>
      <w:r>
        <w:rPr>
          <w:rFonts w:hint="default" w:ascii="Times New Roman" w:hAnsi="Times New Roman" w:cs="Times New Roman"/>
          <w:szCs w:val="22"/>
        </w:rPr>
        <w:t>转化体特异性序列拷贝数比值为0.1%（依据6.4中测试的检出限浓度确定）的样品进行测试。</w:t>
      </w:r>
    </w:p>
    <w:p w14:paraId="6AB6E5E8">
      <w:pPr>
        <w:spacing w:line="312" w:lineRule="auto"/>
        <w:ind w:firstLine="420" w:firstLineChars="200"/>
        <w:rPr>
          <w:rFonts w:eastAsia="仿宋"/>
          <w:sz w:val="32"/>
          <w:szCs w:val="32"/>
        </w:rPr>
      </w:pPr>
      <w:r>
        <w:rPr>
          <w:rFonts w:hint="default" w:ascii="Times New Roman" w:hAnsi="Times New Roman" w:cs="Times New Roman"/>
          <w:szCs w:val="22"/>
        </w:rPr>
        <w:t>结果显示，60份抗虫耐除草剂玉米</w:t>
      </w:r>
      <w:r>
        <w:rPr>
          <w:rFonts w:hint="eastAsia" w:cs="Times New Roman"/>
          <w:szCs w:val="22"/>
          <w:lang w:eastAsia="zh-CN"/>
        </w:rPr>
        <w:t>QY2569-42</w:t>
      </w:r>
      <w:r>
        <w:rPr>
          <w:rFonts w:hint="default" w:ascii="Times New Roman" w:hAnsi="Times New Roman" w:cs="Times New Roman"/>
          <w:szCs w:val="22"/>
        </w:rPr>
        <w:t>拷贝数比值为0.1%的样品中（依据6.3中测试的检出限浓度确定），</w:t>
      </w:r>
      <w:r>
        <w:rPr>
          <w:rFonts w:hint="eastAsia" w:cs="Times New Roman"/>
          <w:szCs w:val="22"/>
          <w:lang w:eastAsia="zh-CN"/>
        </w:rPr>
        <w:t>QY2569-42</w:t>
      </w:r>
      <w:r>
        <w:rPr>
          <w:rFonts w:hint="default" w:ascii="Times New Roman" w:hAnsi="Times New Roman" w:cs="Times New Roman"/>
          <w:szCs w:val="22"/>
        </w:rPr>
        <w:t>-F/</w:t>
      </w:r>
      <w:r>
        <w:rPr>
          <w:rFonts w:hint="eastAsia" w:cs="Times New Roman"/>
          <w:szCs w:val="22"/>
          <w:lang w:eastAsia="zh-CN"/>
        </w:rPr>
        <w:t>QY2569-42</w:t>
      </w:r>
      <w:r>
        <w:rPr>
          <w:rFonts w:hint="default" w:ascii="Times New Roman" w:hAnsi="Times New Roman" w:cs="Times New Roman"/>
          <w:szCs w:val="22"/>
        </w:rPr>
        <w:t>-R均能扩增得到抗虫耐除草剂玉米</w:t>
      </w:r>
      <w:r>
        <w:rPr>
          <w:rFonts w:hint="eastAsia" w:cs="Times New Roman"/>
          <w:szCs w:val="22"/>
          <w:lang w:eastAsia="zh-CN"/>
        </w:rPr>
        <w:t>QY2569-42</w:t>
      </w:r>
      <w:r>
        <w:rPr>
          <w:rFonts w:hint="default" w:ascii="Times New Roman" w:hAnsi="Times New Roman" w:cs="Times New Roman"/>
          <w:szCs w:val="22"/>
        </w:rPr>
        <w:t>转化体预期</w:t>
      </w:r>
      <w:r>
        <w:rPr>
          <w:rFonts w:hint="eastAsia" w:ascii="Times New Roman" w:hAnsi="Times New Roman" w:cs="Times New Roman"/>
          <w:szCs w:val="22"/>
          <w:lang w:val="en-US" w:eastAsia="zh-CN"/>
        </w:rPr>
        <w:t>2</w:t>
      </w:r>
      <w:r>
        <w:rPr>
          <w:rFonts w:hint="eastAsia" w:cs="Times New Roman"/>
          <w:szCs w:val="22"/>
          <w:lang w:val="en-US" w:eastAsia="zh-CN"/>
        </w:rPr>
        <w:t>09</w:t>
      </w:r>
      <w:r>
        <w:rPr>
          <w:rFonts w:hint="default" w:ascii="Times New Roman" w:hAnsi="Times New Roman" w:cs="Times New Roman"/>
          <w:szCs w:val="22"/>
        </w:rPr>
        <w:t xml:space="preserve"> bp的DNA片段，如图</w:t>
      </w:r>
      <w:r>
        <w:rPr>
          <w:rFonts w:hint="eastAsia" w:cs="Times New Roman"/>
          <w:szCs w:val="22"/>
          <w:lang w:val="en-US" w:eastAsia="zh-CN"/>
        </w:rPr>
        <w:t>2-18</w:t>
      </w:r>
      <w:r>
        <w:rPr>
          <w:rFonts w:hint="default" w:ascii="Times New Roman" w:hAnsi="Times New Roman" w:cs="Times New Roman"/>
          <w:szCs w:val="22"/>
        </w:rPr>
        <w:t>。由此可以确定普通PCR方法的检出限为0.1%（以PCR检测反应体系中加入100 ng抗虫耐除草剂玉米</w:t>
      </w:r>
      <w:r>
        <w:rPr>
          <w:rFonts w:hint="eastAsia" w:cs="Times New Roman"/>
          <w:szCs w:val="22"/>
          <w:lang w:eastAsia="zh-CN"/>
        </w:rPr>
        <w:t>QY2569-42</w:t>
      </w:r>
      <w:r>
        <w:rPr>
          <w:rFonts w:hint="default" w:ascii="Times New Roman" w:hAnsi="Times New Roman" w:cs="Times New Roman"/>
          <w:szCs w:val="22"/>
        </w:rPr>
        <w:t>基因组DNA模板进行测算，相当于反应体系中含有约40拷贝的抗虫耐除草剂玉米</w:t>
      </w:r>
      <w:r>
        <w:rPr>
          <w:rFonts w:hint="eastAsia" w:cs="Times New Roman"/>
          <w:szCs w:val="22"/>
          <w:lang w:eastAsia="zh-CN"/>
        </w:rPr>
        <w:t>QY2569-42</w:t>
      </w:r>
      <w:r>
        <w:rPr>
          <w:rFonts w:hint="default" w:ascii="Times New Roman" w:hAnsi="Times New Roman" w:cs="Times New Roman"/>
          <w:szCs w:val="22"/>
        </w:rPr>
        <w:t>转化体特异性序列）。</w:t>
      </w:r>
    </w:p>
    <w:p w14:paraId="101689D3">
      <w:pPr>
        <w:spacing w:line="312" w:lineRule="auto"/>
        <w:jc w:val="center"/>
        <w:rPr>
          <w:rFonts w:eastAsia="仿宋"/>
        </w:rPr>
      </w:pPr>
      <w:r>
        <w:rPr>
          <w:rFonts w:hint="default" w:ascii="Times New Roman" w:hAnsi="Times New Roman" w:eastAsia="宋体" w:cs="Times New Roman"/>
          <w:sz w:val="21"/>
          <w:szCs w:val="21"/>
        </w:rPr>
        <w:drawing>
          <wp:inline distT="0" distB="0" distL="114300" distR="114300">
            <wp:extent cx="3489960" cy="2736215"/>
            <wp:effectExtent l="0" t="0" r="15240" b="698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67"/>
                    <a:stretch>
                      <a:fillRect/>
                    </a:stretch>
                  </pic:blipFill>
                  <pic:spPr>
                    <a:xfrm>
                      <a:off x="0" y="0"/>
                      <a:ext cx="3489960" cy="2736215"/>
                    </a:xfrm>
                    <a:prstGeom prst="rect">
                      <a:avLst/>
                    </a:prstGeom>
                    <a:noFill/>
                    <a:ln>
                      <a:noFill/>
                    </a:ln>
                  </pic:spPr>
                </pic:pic>
              </a:graphicData>
            </a:graphic>
          </wp:inline>
        </w:drawing>
      </w:r>
      <w:r>
        <w:rPr>
          <w:rFonts w:eastAsia="仿宋"/>
        </w:rPr>
        <mc:AlternateContent>
          <mc:Choice Requires="wps">
            <w:drawing>
              <wp:anchor distT="0" distB="0" distL="114300" distR="114300" simplePos="0" relativeHeight="251659264" behindDoc="0" locked="0" layoutInCell="1" allowOverlap="1">
                <wp:simplePos x="0" y="0"/>
                <wp:positionH relativeFrom="column">
                  <wp:posOffset>-279400</wp:posOffset>
                </wp:positionH>
                <wp:positionV relativeFrom="paragraph">
                  <wp:posOffset>-1270</wp:posOffset>
                </wp:positionV>
                <wp:extent cx="566420" cy="511810"/>
                <wp:effectExtent l="0" t="0" r="0" b="0"/>
                <wp:wrapNone/>
                <wp:docPr id="29" name="文本框 120"/>
                <wp:cNvGraphicFramePr/>
                <a:graphic xmlns:a="http://schemas.openxmlformats.org/drawingml/2006/main">
                  <a:graphicData uri="http://schemas.microsoft.com/office/word/2010/wordprocessingShape">
                    <wps:wsp>
                      <wps:cNvSpPr/>
                      <wps:spPr>
                        <a:xfrm>
                          <a:off x="0" y="0"/>
                          <a:ext cx="566420" cy="511810"/>
                        </a:xfrm>
                        <a:prstGeom prst="rect">
                          <a:avLst/>
                        </a:prstGeom>
                        <a:noFill/>
                        <a:ln>
                          <a:noFill/>
                        </a:ln>
                        <a:effectLst/>
                      </wps:spPr>
                      <wps:txbx>
                        <w:txbxContent>
                          <w:p w14:paraId="2D7FD297">
                            <w:pPr>
                              <w:ind w:firstLine="420"/>
                            </w:pPr>
                          </w:p>
                        </w:txbxContent>
                      </wps:txbx>
                      <wps:bodyPr upright="1"/>
                    </wps:wsp>
                  </a:graphicData>
                </a:graphic>
              </wp:anchor>
            </w:drawing>
          </mc:Choice>
          <mc:Fallback>
            <w:pict>
              <v:rect id="文本框 120" o:spid="_x0000_s1026" o:spt="1" style="position:absolute;left:0pt;margin-left:-22pt;margin-top:-0.1pt;height:40.3pt;width:44.6pt;z-index:251659264;mso-width-relative:page;mso-height-relative:page;" filled="f" stroked="f" coordsize="21600,21600" o:gfxdata="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tKFDjYAAAA&#10;BwEAAA8AAAAAAAAAAQAgAAAAIgAAAGRycy9kb3ducmV2LnhtbFBLAQIUABQAAAAIAIdO4kBpATde&#10;qwEAAFQDAAAOAAAAAAAAAAEAIAAAACcBAABkcnMvZTJvRG9jLnhtbFBLBQYAAAAABgAGAFkBAABE&#10;BQAAAAA=&#10;">
                <v:fill on="f" focussize="0,0"/>
                <v:stroke on="f"/>
                <v:imagedata o:title=""/>
                <o:lock v:ext="edit" aspectratio="f"/>
                <v:textbox>
                  <w:txbxContent>
                    <w:p w14:paraId="2D7FD297">
                      <w:pPr>
                        <w:ind w:firstLine="420"/>
                      </w:pPr>
                    </w:p>
                  </w:txbxContent>
                </v:textbox>
              </v:rect>
            </w:pict>
          </mc:Fallback>
        </mc:AlternateContent>
      </w:r>
    </w:p>
    <w:p w14:paraId="3927BEBF">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2-18</w:t>
      </w:r>
      <w:r>
        <w:rPr>
          <w:rFonts w:ascii="Times New Roman" w:hAnsi="Times New Roman" w:eastAsia="黑体" w:cs="Calibri"/>
          <w:sz w:val="18"/>
          <w:szCs w:val="22"/>
        </w:rPr>
        <w:t xml:space="preserve"> 检出限确定测试结果</w:t>
      </w:r>
    </w:p>
    <w:p w14:paraId="48C5D007">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M：100 bp DNA Ladder；1~60：0.1%的转基因玉米</w:t>
      </w:r>
      <w:r>
        <w:rPr>
          <w:rFonts w:hint="eastAsia" w:cs="Times New Roman"/>
          <w:sz w:val="18"/>
          <w:szCs w:val="18"/>
          <w:lang w:eastAsia="zh-CN"/>
        </w:rPr>
        <w:t>QY2569-42</w:t>
      </w:r>
      <w:r>
        <w:rPr>
          <w:rFonts w:hint="default" w:ascii="Times New Roman" w:hAnsi="Times New Roman" w:eastAsia="宋体" w:cs="Times New Roman"/>
          <w:sz w:val="18"/>
          <w:szCs w:val="18"/>
        </w:rPr>
        <w:t>；</w:t>
      </w:r>
    </w:p>
    <w:p w14:paraId="56839D52">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eastAsia="仿宋"/>
        </w:rPr>
      </w:pPr>
      <w:r>
        <w:rPr>
          <w:rFonts w:hint="default" w:ascii="Times New Roman" w:hAnsi="Times New Roman" w:eastAsia="宋体" w:cs="Times New Roman"/>
          <w:sz w:val="18"/>
          <w:szCs w:val="18"/>
        </w:rPr>
        <w:t>61：空白质控品；62：阴性质控品；63：1%的转基因玉米</w:t>
      </w:r>
      <w:r>
        <w:rPr>
          <w:rFonts w:hint="eastAsia" w:cs="Times New Roman"/>
          <w:sz w:val="18"/>
          <w:szCs w:val="18"/>
          <w:lang w:eastAsia="zh-CN"/>
        </w:rPr>
        <w:t>QY2569-42</w:t>
      </w:r>
    </w:p>
    <w:p w14:paraId="239CA0AF">
      <w:pPr>
        <w:pStyle w:val="4"/>
        <w:keepNext/>
        <w:keepLines/>
        <w:pageBreakBefore w:val="0"/>
        <w:widowControl w:val="0"/>
        <w:kinsoku/>
        <w:wordWrap/>
        <w:overflowPunct/>
        <w:topLinePunct w:val="0"/>
        <w:autoSpaceDE/>
        <w:autoSpaceDN/>
        <w:bidi w:val="0"/>
        <w:adjustRightInd/>
        <w:snapToGrid/>
        <w:spacing w:before="50" w:beforeLines="50" w:after="50" w:afterLines="50" w:line="240" w:lineRule="auto"/>
        <w:ind w:firstLine="420" w:firstLineChars="200"/>
        <w:textAlignment w:val="auto"/>
        <w:rPr>
          <w:rFonts w:ascii="Times New Roman" w:hAnsi="Times New Roman" w:eastAsia="黑体" w:cs="Calibri"/>
          <w:b w:val="0"/>
          <w:sz w:val="21"/>
        </w:rPr>
      </w:pPr>
      <w:r>
        <w:rPr>
          <w:rFonts w:ascii="Times New Roman" w:hAnsi="Times New Roman" w:eastAsia="黑体" w:cs="Calibri"/>
          <w:b w:val="0"/>
          <w:sz w:val="21"/>
        </w:rPr>
        <w:t>7. 稳健性测试</w:t>
      </w:r>
    </w:p>
    <w:p w14:paraId="39036B60">
      <w:pPr>
        <w:spacing w:line="312" w:lineRule="auto"/>
        <w:ind w:firstLine="420" w:firstLineChars="200"/>
        <w:rPr>
          <w:rFonts w:hint="default" w:ascii="Times New Roman" w:hAnsi="Times New Roman" w:cs="Times New Roman"/>
          <w:szCs w:val="22"/>
        </w:rPr>
      </w:pPr>
      <w:r>
        <w:rPr>
          <w:rFonts w:hint="default" w:ascii="Times New Roman" w:hAnsi="Times New Roman" w:cs="Times New Roman"/>
          <w:szCs w:val="22"/>
        </w:rPr>
        <w:t>指派另一名实验人员使用不同品牌和型号的PCR仪进行测试，测试样品包括非转基因玉米、拷贝数比值为1</w:t>
      </w:r>
      <w:r>
        <w:rPr>
          <w:rFonts w:hint="eastAsia" w:ascii="Times New Roman" w:hAnsi="Times New Roman" w:cs="Times New Roman"/>
          <w:szCs w:val="22"/>
          <w:lang w:val="en-US" w:eastAsia="zh-CN"/>
        </w:rPr>
        <w:t>00</w:t>
      </w:r>
      <w:r>
        <w:rPr>
          <w:rFonts w:hint="default" w:ascii="Times New Roman" w:hAnsi="Times New Roman" w:cs="Times New Roman"/>
          <w:szCs w:val="22"/>
        </w:rPr>
        <w:t>%</w:t>
      </w:r>
      <w:r>
        <w:rPr>
          <w:rFonts w:hint="eastAsia" w:ascii="Times New Roman" w:hAnsi="Times New Roman" w:cs="Times New Roman"/>
          <w:szCs w:val="22"/>
          <w:lang w:eastAsia="zh-CN"/>
        </w:rPr>
        <w:t>、</w:t>
      </w:r>
      <w:r>
        <w:rPr>
          <w:rFonts w:hint="default" w:ascii="Times New Roman" w:hAnsi="Times New Roman" w:cs="Times New Roman"/>
          <w:szCs w:val="22"/>
        </w:rPr>
        <w:t>1%和检出限0.1%（依据6.5中确定的检出限浓度）的样品。测试结果（图</w:t>
      </w:r>
      <w:r>
        <w:rPr>
          <w:rFonts w:hint="eastAsia" w:cs="Times New Roman"/>
          <w:szCs w:val="22"/>
          <w:lang w:val="en-US" w:eastAsia="zh-CN"/>
        </w:rPr>
        <w:t>2-19</w:t>
      </w:r>
      <w:r>
        <w:rPr>
          <w:rFonts w:hint="default" w:ascii="Times New Roman" w:hAnsi="Times New Roman" w:cs="Times New Roman"/>
          <w:szCs w:val="22"/>
        </w:rPr>
        <w:t>）与预期一致，表明方法稳健性符合要求。</w:t>
      </w:r>
    </w:p>
    <w:p w14:paraId="69350324">
      <w:pPr>
        <w:tabs>
          <w:tab w:val="left" w:pos="1385"/>
        </w:tabs>
        <w:ind w:firstLine="420" w:firstLineChars="200"/>
        <w:jc w:val="center"/>
        <w:rPr>
          <w:rFonts w:eastAsia="仿宋"/>
          <w:szCs w:val="21"/>
        </w:rPr>
      </w:pPr>
      <w:r>
        <w:rPr>
          <w:rFonts w:hint="default" w:ascii="Times New Roman" w:hAnsi="Times New Roman" w:eastAsia="宋体" w:cs="Times New Roman"/>
          <w:sz w:val="21"/>
          <w:szCs w:val="21"/>
        </w:rPr>
        <w:drawing>
          <wp:inline distT="0" distB="0" distL="114300" distR="114300">
            <wp:extent cx="4177030" cy="1259840"/>
            <wp:effectExtent l="0" t="0" r="13970" b="16510"/>
            <wp:docPr id="19" name="图片 8"/>
            <wp:cNvGraphicFramePr/>
            <a:graphic xmlns:a="http://schemas.openxmlformats.org/drawingml/2006/main">
              <a:graphicData uri="http://schemas.openxmlformats.org/drawingml/2006/picture">
                <pic:pic xmlns:pic="http://schemas.openxmlformats.org/drawingml/2006/picture">
                  <pic:nvPicPr>
                    <pic:cNvPr id="19" name="图片 8"/>
                    <pic:cNvPicPr/>
                  </pic:nvPicPr>
                  <pic:blipFill>
                    <a:blip r:embed="rId68"/>
                    <a:srcRect r="3307"/>
                    <a:stretch>
                      <a:fillRect/>
                    </a:stretch>
                  </pic:blipFill>
                  <pic:spPr>
                    <a:xfrm>
                      <a:off x="0" y="0"/>
                      <a:ext cx="4177030" cy="1259840"/>
                    </a:xfrm>
                    <a:prstGeom prst="rect">
                      <a:avLst/>
                    </a:prstGeom>
                    <a:noFill/>
                    <a:ln>
                      <a:noFill/>
                    </a:ln>
                  </pic:spPr>
                </pic:pic>
              </a:graphicData>
            </a:graphic>
          </wp:inline>
        </w:drawing>
      </w:r>
    </w:p>
    <w:p w14:paraId="13AA6FEE">
      <w:pPr>
        <w:pStyle w:val="8"/>
        <w:keepNext/>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图</w:t>
      </w:r>
      <w:r>
        <w:rPr>
          <w:rFonts w:hint="eastAsia" w:ascii="Times New Roman" w:hAnsi="Times New Roman" w:eastAsia="黑体" w:cs="Calibri"/>
          <w:sz w:val="18"/>
          <w:szCs w:val="22"/>
          <w:lang w:val="en-US" w:eastAsia="zh-CN"/>
        </w:rPr>
        <w:t>2-19</w:t>
      </w:r>
      <w:r>
        <w:rPr>
          <w:rFonts w:ascii="Times New Roman" w:hAnsi="Times New Roman" w:eastAsia="黑体" w:cs="Calibri"/>
          <w:sz w:val="18"/>
          <w:szCs w:val="22"/>
        </w:rPr>
        <w:t xml:space="preserve"> 稳健性测试结果</w:t>
      </w:r>
    </w:p>
    <w:p w14:paraId="39CB61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M：100 bp DNA Ladder；1-3：</w:t>
      </w:r>
      <w:r>
        <w:rPr>
          <w:rFonts w:hint="default" w:ascii="Times New Roman" w:hAnsi="Times New Roman" w:eastAsia="宋体" w:cs="Times New Roman"/>
          <w:sz w:val="18"/>
          <w:szCs w:val="18"/>
          <w:lang w:val="en-US" w:eastAsia="zh-CN"/>
        </w:rPr>
        <w:t>阳</w:t>
      </w:r>
      <w:r>
        <w:rPr>
          <w:rFonts w:hint="default" w:ascii="Times New Roman" w:hAnsi="Times New Roman" w:eastAsia="宋体" w:cs="Times New Roman"/>
          <w:sz w:val="18"/>
          <w:szCs w:val="18"/>
        </w:rPr>
        <w:t xml:space="preserve">性对照；4-6：1% </w:t>
      </w:r>
      <w:r>
        <w:rPr>
          <w:rFonts w:hint="default" w:ascii="Times New Roman" w:hAnsi="Times New Roman" w:eastAsia="宋体" w:cs="Times New Roman"/>
          <w:sz w:val="18"/>
          <w:szCs w:val="18"/>
          <w:lang w:val="en-US" w:eastAsia="zh-CN"/>
        </w:rPr>
        <w:t>QY2569-42</w:t>
      </w:r>
      <w:r>
        <w:rPr>
          <w:rFonts w:hint="default" w:ascii="Times New Roman" w:hAnsi="Times New Roman" w:eastAsia="宋体" w:cs="Times New Roman"/>
          <w:sz w:val="18"/>
          <w:szCs w:val="18"/>
        </w:rPr>
        <w:t>；</w:t>
      </w:r>
    </w:p>
    <w:p w14:paraId="33C2A99C">
      <w:pPr>
        <w:keepNext w:val="0"/>
        <w:keepLines w:val="0"/>
        <w:pageBreakBefore w:val="0"/>
        <w:widowControl w:val="0"/>
        <w:tabs>
          <w:tab w:val="left" w:pos="1385"/>
        </w:tabs>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 xml:space="preserve">7-9：0.1% </w:t>
      </w:r>
      <w:r>
        <w:rPr>
          <w:rFonts w:hint="default" w:ascii="Times New Roman" w:hAnsi="Times New Roman" w:eastAsia="宋体" w:cs="Times New Roman"/>
          <w:sz w:val="18"/>
          <w:szCs w:val="18"/>
          <w:lang w:val="en-US" w:eastAsia="zh-CN"/>
        </w:rPr>
        <w:t>QY2569-42</w:t>
      </w:r>
      <w:r>
        <w:rPr>
          <w:rFonts w:hint="default" w:ascii="Times New Roman" w:hAnsi="Times New Roman" w:eastAsia="宋体" w:cs="Times New Roman"/>
          <w:sz w:val="18"/>
          <w:szCs w:val="18"/>
        </w:rPr>
        <w:t>；10-12：阴性对照；13-15：空白对照</w:t>
      </w:r>
    </w:p>
    <w:p w14:paraId="7DE7A8C0">
      <w:pPr>
        <w:pStyle w:val="2"/>
        <w:numPr>
          <w:ilvl w:val="0"/>
          <w:numId w:val="0"/>
        </w:numPr>
        <w:bidi w:val="0"/>
        <w:rPr>
          <w:rFonts w:hint="eastAsia"/>
          <w:highlight w:val="none"/>
        </w:rPr>
      </w:pPr>
      <w:bookmarkStart w:id="27" w:name="_Toc22886"/>
      <w:bookmarkStart w:id="28" w:name="_Hlk134113159"/>
      <w:r>
        <w:rPr>
          <w:rFonts w:hint="eastAsia"/>
          <w:highlight w:val="none"/>
          <w:lang w:val="en-US" w:eastAsia="zh-CN"/>
        </w:rPr>
        <w:t>三、</w:t>
      </w:r>
      <w:r>
        <w:rPr>
          <w:rFonts w:hint="eastAsia"/>
          <w:highlight w:val="none"/>
        </w:rPr>
        <w:t>试验验证的分析、综述报告，技术经济论证，预期的经济效益、社会效益和生态效益</w:t>
      </w:r>
      <w:bookmarkEnd w:id="27"/>
    </w:p>
    <w:bookmarkEnd w:id="28"/>
    <w:p w14:paraId="628612F5">
      <w:pPr>
        <w:pStyle w:val="3"/>
        <w:bidi w:val="0"/>
        <w:rPr>
          <w:rFonts w:hint="eastAsia" w:eastAsia="宋体"/>
          <w:highlight w:val="none"/>
          <w:lang w:val="en-US" w:eastAsia="zh-CN"/>
        </w:rPr>
      </w:pPr>
      <w:r>
        <w:rPr>
          <w:rFonts w:hint="eastAsia"/>
          <w:highlight w:val="none"/>
        </w:rPr>
        <w:t>（一）实验室间验证及结果统计</w:t>
      </w:r>
      <w:r>
        <w:rPr>
          <w:rFonts w:hint="eastAsia"/>
          <w:highlight w:val="none"/>
          <w:lang w:val="en-US" w:eastAsia="zh-CN"/>
        </w:rPr>
        <w:t xml:space="preserve">  </w:t>
      </w:r>
    </w:p>
    <w:p w14:paraId="70290DD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eastAsia="仿宋"/>
          <w:b/>
          <w:bCs/>
          <w:sz w:val="32"/>
          <w:szCs w:val="32"/>
          <w:highlight w:val="none"/>
        </w:rPr>
      </w:pPr>
      <w:r>
        <w:rPr>
          <w:rFonts w:ascii="Times New Roman" w:hAnsi="Times New Roman" w:cs="Calibri"/>
          <w:szCs w:val="22"/>
          <w:highlight w:val="none"/>
        </w:rPr>
        <w:t>研究并确立了实验室间方法验证方案，详细内容见《转基因植物及其产品成分检测  抗虫耐除草剂玉米</w:t>
      </w:r>
      <w:r>
        <w:rPr>
          <w:rFonts w:hint="eastAsia" w:cs="Calibri"/>
          <w:szCs w:val="22"/>
          <w:highlight w:val="none"/>
          <w:lang w:eastAsia="zh-CN"/>
        </w:rPr>
        <w:t>QY2569-42</w:t>
      </w:r>
      <w:r>
        <w:rPr>
          <w:rFonts w:ascii="Times New Roman" w:hAnsi="Times New Roman" w:cs="Calibri"/>
          <w:szCs w:val="22"/>
          <w:highlight w:val="none"/>
        </w:rPr>
        <w:t>转化体特异性PCR方法  标准文本验证方案》（见附件</w:t>
      </w:r>
      <w:r>
        <w:rPr>
          <w:rFonts w:hint="eastAsia" w:cs="Calibri"/>
          <w:szCs w:val="22"/>
          <w:highlight w:val="none"/>
          <w:lang w:val="en-US" w:eastAsia="zh-CN"/>
        </w:rPr>
        <w:t>1-1</w:t>
      </w:r>
      <w:r>
        <w:rPr>
          <w:rFonts w:ascii="Times New Roman" w:hAnsi="Times New Roman" w:cs="Calibri"/>
          <w:szCs w:val="22"/>
          <w:highlight w:val="none"/>
        </w:rPr>
        <w:t>）。</w:t>
      </w:r>
    </w:p>
    <w:p w14:paraId="36400E2B">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highlight w:val="none"/>
        </w:rPr>
      </w:pPr>
      <w:bookmarkStart w:id="29" w:name="_Hlk134113223"/>
      <w:r>
        <w:rPr>
          <w:rFonts w:ascii="Times New Roman" w:hAnsi="Times New Roman" w:cs="Calibri"/>
          <w:szCs w:val="22"/>
          <w:highlight w:val="none"/>
        </w:rPr>
        <w:t>实验室间验证时，各实验室各样品检测数据通常表示为：</w:t>
      </w:r>
    </w:p>
    <w:p w14:paraId="5D6005C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Calibri"/>
          <w:szCs w:val="22"/>
          <w:highlight w:val="none"/>
          <w:lang w:eastAsia="zh-CN"/>
        </w:rPr>
      </w:pPr>
      <w:r>
        <w:rPr>
          <w:rFonts w:ascii="Times New Roman" w:hAnsi="Times New Roman" w:cs="Calibri"/>
          <w:szCs w:val="22"/>
          <w:highlight w:val="none"/>
        </w:rPr>
        <w:t>下标i</w:t>
      </w:r>
      <w:r>
        <w:rPr>
          <w:rFonts w:hint="eastAsia" w:ascii="Times New Roman" w:hAnsi="Times New Roman" w:cs="Calibri"/>
          <w:szCs w:val="22"/>
          <w:highlight w:val="none"/>
          <w:lang w:val="en-US" w:eastAsia="zh-CN"/>
        </w:rPr>
        <w:t xml:space="preserve">  </w:t>
      </w:r>
      <w:r>
        <w:rPr>
          <w:rFonts w:ascii="Times New Roman" w:hAnsi="Times New Roman" w:cs="Calibri"/>
          <w:szCs w:val="22"/>
          <w:highlight w:val="none"/>
        </w:rPr>
        <w:t>—第i个实验室，编号为i=1,2,...,p</w:t>
      </w:r>
      <w:r>
        <w:rPr>
          <w:rFonts w:hint="eastAsia" w:ascii="Times New Roman" w:hAnsi="Times New Roman" w:cs="Calibri"/>
          <w:szCs w:val="22"/>
          <w:highlight w:val="none"/>
          <w:lang w:eastAsia="zh-CN"/>
        </w:rPr>
        <w:t>；</w:t>
      </w:r>
    </w:p>
    <w:p w14:paraId="07201B5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Calibri"/>
          <w:szCs w:val="22"/>
          <w:lang w:eastAsia="zh-CN"/>
        </w:rPr>
      </w:pPr>
      <w:r>
        <w:rPr>
          <w:rFonts w:ascii="Times New Roman" w:hAnsi="Times New Roman" w:cs="Calibri"/>
          <w:szCs w:val="22"/>
        </w:rPr>
        <w:t>下标j</w:t>
      </w:r>
      <w:r>
        <w:rPr>
          <w:rFonts w:hint="eastAsia" w:ascii="Times New Roman" w:hAnsi="Times New Roman" w:cs="Calibri"/>
          <w:szCs w:val="22"/>
          <w:lang w:val="en-US" w:eastAsia="zh-CN"/>
        </w:rPr>
        <w:t xml:space="preserve">  </w:t>
      </w:r>
      <w:r>
        <w:rPr>
          <w:rFonts w:ascii="Times New Roman" w:hAnsi="Times New Roman" w:cs="Calibri"/>
          <w:szCs w:val="22"/>
        </w:rPr>
        <w:t>—第j个水平，编号为j=1,2,...,q</w:t>
      </w:r>
      <w:r>
        <w:rPr>
          <w:rFonts w:hint="eastAsia" w:ascii="Times New Roman" w:hAnsi="Times New Roman" w:cs="Calibri"/>
          <w:szCs w:val="22"/>
          <w:lang w:eastAsia="zh-CN"/>
        </w:rPr>
        <w:t>；</w:t>
      </w:r>
    </w:p>
    <w:p w14:paraId="093C36B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Calibri"/>
          <w:szCs w:val="22"/>
          <w:lang w:eastAsia="zh-CN"/>
        </w:rPr>
      </w:pPr>
      <w:r>
        <w:rPr>
          <w:rFonts w:ascii="Times New Roman" w:hAnsi="Times New Roman" w:cs="Calibri"/>
          <w:szCs w:val="22"/>
        </w:rPr>
        <w:t>下标k</w:t>
      </w:r>
      <w:r>
        <w:rPr>
          <w:rFonts w:hint="eastAsia" w:ascii="Times New Roman" w:hAnsi="Times New Roman" w:cs="Calibri"/>
          <w:szCs w:val="22"/>
          <w:lang w:val="en-US" w:eastAsia="zh-CN"/>
        </w:rPr>
        <w:t xml:space="preserve">  </w:t>
      </w:r>
      <w:r>
        <w:rPr>
          <w:rFonts w:ascii="Times New Roman" w:hAnsi="Times New Roman" w:cs="Calibri"/>
          <w:szCs w:val="22"/>
        </w:rPr>
        <w:t>—第k个平行子样，编号为k=1,2,...,m</w:t>
      </w:r>
      <w:r>
        <w:rPr>
          <w:rFonts w:hint="eastAsia" w:ascii="Times New Roman" w:hAnsi="Times New Roman" w:cs="Calibri"/>
          <w:szCs w:val="22"/>
          <w:lang w:eastAsia="zh-CN"/>
        </w:rPr>
        <w:t>；</w:t>
      </w:r>
    </w:p>
    <w:p w14:paraId="3625A634">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宋体" w:cs="Calibri"/>
          <w:szCs w:val="22"/>
          <w:lang w:eastAsia="zh-CN"/>
        </w:rPr>
      </w:pPr>
      <w:r>
        <w:rPr>
          <w:rFonts w:ascii="Times New Roman" w:hAnsi="Times New Roman" w:cs="Calibri"/>
          <w:szCs w:val="22"/>
        </w:rPr>
        <w:t>下标l</w:t>
      </w:r>
      <w:r>
        <w:rPr>
          <w:rFonts w:hint="eastAsia" w:ascii="Times New Roman" w:hAnsi="Times New Roman" w:cs="Calibri"/>
          <w:szCs w:val="22"/>
          <w:lang w:val="en-US" w:eastAsia="zh-CN"/>
        </w:rPr>
        <w:t xml:space="preserve">  </w:t>
      </w:r>
      <w:r>
        <w:rPr>
          <w:rFonts w:ascii="Times New Roman" w:hAnsi="Times New Roman" w:cs="Calibri"/>
          <w:szCs w:val="22"/>
        </w:rPr>
        <w:t>—第l次PCR重复，编号为l=1,2,...,n</w:t>
      </w:r>
      <w:r>
        <w:rPr>
          <w:rFonts w:hint="eastAsia" w:ascii="Times New Roman" w:hAnsi="Times New Roman" w:cs="Calibri"/>
          <w:szCs w:val="22"/>
          <w:lang w:eastAsia="zh-CN"/>
        </w:rPr>
        <w:t>；</w:t>
      </w:r>
    </w:p>
    <w:bookmarkEnd w:id="29"/>
    <w:p w14:paraId="33DC95B9">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ascii="Times New Roman" w:hAnsi="Times New Roman" w:cs="Calibri"/>
          <w:sz w:val="18"/>
          <w:szCs w:val="18"/>
        </w:rPr>
      </w:pPr>
      <w:r>
        <w:rPr>
          <w:rFonts w:ascii="Times New Roman" w:hAnsi="Times New Roman" w:cs="Calibri"/>
          <w:sz w:val="18"/>
          <w:szCs w:val="18"/>
        </w:rPr>
        <w:t>注：对某个水平（含量）样品而言，“实验室平均值”是指每个实验室对各自检测数据单独平均，“全部实验室平均值”是指全部实验室检测数据进行平均。</w:t>
      </w:r>
    </w:p>
    <w:p w14:paraId="4B7E5798">
      <w:pPr>
        <w:pStyle w:val="4"/>
        <w:numPr>
          <w:ilvl w:val="0"/>
          <w:numId w:val="5"/>
        </w:numPr>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实时荧光PCR定性验证结果分析</w:t>
      </w:r>
    </w:p>
    <w:p w14:paraId="64E3C4A7">
      <w:pPr>
        <w:pStyle w:val="4"/>
        <w:numPr>
          <w:ilvl w:val="0"/>
          <w:numId w:val="0"/>
        </w:numPr>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1.</w:t>
      </w:r>
      <w:r>
        <w:rPr>
          <w:rFonts w:hint="eastAsia" w:ascii="Times New Roman" w:hAnsi="Times New Roman" w:eastAsia="黑体" w:cs="Calibri"/>
          <w:b w:val="0"/>
          <w:sz w:val="21"/>
          <w:lang w:val="en-US" w:eastAsia="zh-CN"/>
        </w:rPr>
        <w:t>1</w:t>
      </w:r>
      <w:r>
        <w:rPr>
          <w:rFonts w:ascii="Times New Roman" w:hAnsi="Times New Roman" w:eastAsia="黑体" w:cs="Calibri"/>
          <w:b w:val="0"/>
          <w:sz w:val="21"/>
        </w:rPr>
        <w:t xml:space="preserve"> 特异性验证</w:t>
      </w:r>
    </w:p>
    <w:p w14:paraId="5BB6078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8个实验室分别对下表中11个样品进行抗虫耐除草剂玉米</w:t>
      </w:r>
      <w:r>
        <w:rPr>
          <w:rFonts w:hint="eastAsia" w:cs="Calibri"/>
          <w:szCs w:val="22"/>
          <w:lang w:eastAsia="zh-CN"/>
        </w:rPr>
        <w:t>QY2569-42</w:t>
      </w:r>
      <w:r>
        <w:rPr>
          <w:rFonts w:ascii="Times New Roman" w:hAnsi="Times New Roman" w:cs="Calibri"/>
          <w:szCs w:val="22"/>
        </w:rPr>
        <w:t>转化体特异性定性验证，每个试样设置3个平行子样，每个子样PCR重复3次。实时荧光PCR定性结果显示，在阳性</w:t>
      </w:r>
      <w:r>
        <w:rPr>
          <w:rFonts w:hint="eastAsia" w:ascii="Times New Roman" w:hAnsi="Times New Roman" w:cs="Calibri"/>
          <w:szCs w:val="22"/>
        </w:rPr>
        <w:t>质控品</w:t>
      </w:r>
      <w:r>
        <w:rPr>
          <w:rFonts w:ascii="Times New Roman" w:hAnsi="Times New Roman" w:cs="Calibri"/>
          <w:szCs w:val="22"/>
        </w:rPr>
        <w:t xml:space="preserve">、1% </w:t>
      </w:r>
      <w:r>
        <w:rPr>
          <w:rFonts w:hint="eastAsia" w:cs="Calibri"/>
          <w:szCs w:val="22"/>
          <w:lang w:eastAsia="zh-CN"/>
        </w:rPr>
        <w:t>QY2569-42</w:t>
      </w:r>
      <w:r>
        <w:rPr>
          <w:rFonts w:ascii="Times New Roman" w:hAnsi="Times New Roman" w:cs="Calibri"/>
          <w:szCs w:val="22"/>
        </w:rPr>
        <w:t xml:space="preserve">和0.05% </w:t>
      </w:r>
      <w:r>
        <w:rPr>
          <w:rFonts w:hint="eastAsia" w:cs="Calibri"/>
          <w:szCs w:val="22"/>
          <w:lang w:eastAsia="zh-CN"/>
        </w:rPr>
        <w:t>QY2569-42</w:t>
      </w:r>
      <w:r>
        <w:rPr>
          <w:rFonts w:ascii="Times New Roman" w:hAnsi="Times New Roman" w:cs="Calibri"/>
          <w:szCs w:val="22"/>
        </w:rPr>
        <w:t>（实时荧光定性PCR方法检出限）的样品中均有典型扩增曲线，其他样品中无扩增曲线。8个实验室验证结果一致（表</w:t>
      </w:r>
      <w:r>
        <w:rPr>
          <w:rFonts w:hint="eastAsia" w:cs="Calibri"/>
          <w:szCs w:val="22"/>
          <w:lang w:val="en-US" w:eastAsia="zh-CN"/>
        </w:rPr>
        <w:t>3</w:t>
      </w:r>
      <w:r>
        <w:rPr>
          <w:rFonts w:ascii="Times New Roman" w:hAnsi="Times New Roman" w:cs="Calibri"/>
          <w:szCs w:val="22"/>
        </w:rPr>
        <w:t>-1），与实验室内部测试结果相符。</w:t>
      </w:r>
    </w:p>
    <w:p w14:paraId="2B060F6C">
      <w:pPr>
        <w:pStyle w:val="8"/>
        <w:keepNext/>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黑体" w:cs="Calibri"/>
          <w:sz w:val="18"/>
          <w:szCs w:val="22"/>
        </w:rPr>
      </w:pPr>
      <w:r>
        <w:rPr>
          <w:rFonts w:ascii="Times New Roman" w:hAnsi="Times New Roman" w:eastAsia="黑体" w:cs="Calibri"/>
          <w:sz w:val="18"/>
          <w:szCs w:val="22"/>
        </w:rPr>
        <w:t>表</w:t>
      </w:r>
      <w:r>
        <w:rPr>
          <w:rFonts w:hint="eastAsia" w:ascii="Times New Roman" w:hAnsi="Times New Roman" w:eastAsia="黑体" w:cs="Calibri"/>
          <w:sz w:val="18"/>
          <w:szCs w:val="22"/>
          <w:lang w:val="en-US" w:eastAsia="zh-CN"/>
        </w:rPr>
        <w:t>3</w:t>
      </w:r>
      <w:r>
        <w:rPr>
          <w:rFonts w:ascii="Times New Roman" w:hAnsi="Times New Roman" w:eastAsia="黑体" w:cs="Calibri"/>
          <w:sz w:val="18"/>
          <w:szCs w:val="22"/>
        </w:rPr>
        <w:t>-1 抗虫耐除草剂玉米</w:t>
      </w:r>
      <w:r>
        <w:rPr>
          <w:rFonts w:hint="eastAsia" w:ascii="Times New Roman" w:hAnsi="Times New Roman" w:eastAsia="黑体" w:cs="Calibri"/>
          <w:sz w:val="18"/>
          <w:szCs w:val="22"/>
          <w:lang w:eastAsia="zh-CN"/>
        </w:rPr>
        <w:t>QY2569-42</w:t>
      </w:r>
      <w:r>
        <w:rPr>
          <w:rFonts w:ascii="Times New Roman" w:hAnsi="Times New Roman" w:eastAsia="黑体" w:cs="Calibri"/>
          <w:sz w:val="18"/>
          <w:szCs w:val="22"/>
        </w:rPr>
        <w:t>实时荧光定性PCR方法实验室间测定结果</w:t>
      </w:r>
    </w:p>
    <w:tbl>
      <w:tblPr>
        <w:tblStyle w:val="16"/>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92"/>
        <w:gridCol w:w="692"/>
        <w:gridCol w:w="692"/>
        <w:gridCol w:w="692"/>
        <w:gridCol w:w="692"/>
        <w:gridCol w:w="692"/>
        <w:gridCol w:w="692"/>
        <w:gridCol w:w="692"/>
        <w:gridCol w:w="698"/>
      </w:tblGrid>
      <w:tr w14:paraId="6585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33" w:type="dxa"/>
            <w:vMerge w:val="restart"/>
            <w:vAlign w:val="center"/>
          </w:tcPr>
          <w:p w14:paraId="18B2F660">
            <w:pPr>
              <w:spacing w:beforeLines="2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样品名称／编号</w:t>
            </w:r>
          </w:p>
        </w:tc>
        <w:tc>
          <w:tcPr>
            <w:tcW w:w="6234" w:type="dxa"/>
            <w:gridSpan w:val="9"/>
            <w:vAlign w:val="center"/>
          </w:tcPr>
          <w:p w14:paraId="5EFF52B5">
            <w:pPr>
              <w:spacing w:beforeLines="20"/>
              <w:jc w:val="center"/>
              <w:rPr>
                <w:rFonts w:hint="default" w:ascii="Times New Roman" w:hAnsi="Times New Roman" w:eastAsia="宋体" w:cs="Times New Roman"/>
                <w:b/>
                <w:sz w:val="18"/>
                <w:szCs w:val="18"/>
              </w:rPr>
            </w:pPr>
            <w:r>
              <w:rPr>
                <w:rFonts w:hint="eastAsia" w:cs="Times New Roman"/>
                <w:b/>
                <w:sz w:val="18"/>
                <w:szCs w:val="18"/>
                <w:lang w:eastAsia="zh-CN"/>
              </w:rPr>
              <w:t>QY2569-42</w:t>
            </w:r>
            <w:r>
              <w:rPr>
                <w:rFonts w:hint="default" w:ascii="Times New Roman" w:hAnsi="Times New Roman" w:eastAsia="宋体" w:cs="Times New Roman"/>
                <w:b/>
                <w:sz w:val="18"/>
                <w:szCs w:val="18"/>
              </w:rPr>
              <w:t>转化体特异性序列重复测定结果</w:t>
            </w:r>
          </w:p>
        </w:tc>
      </w:tr>
      <w:tr w14:paraId="20F5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33" w:type="dxa"/>
            <w:vMerge w:val="continue"/>
            <w:tcBorders>
              <w:bottom w:val="single" w:color="auto" w:sz="4" w:space="0"/>
            </w:tcBorders>
            <w:vAlign w:val="center"/>
          </w:tcPr>
          <w:p w14:paraId="685703A6">
            <w:pPr>
              <w:spacing w:beforeLines="20"/>
              <w:jc w:val="center"/>
              <w:rPr>
                <w:rFonts w:hint="default" w:ascii="Times New Roman" w:hAnsi="Times New Roman" w:eastAsia="宋体" w:cs="Times New Roman"/>
                <w:b/>
                <w:sz w:val="18"/>
                <w:szCs w:val="18"/>
              </w:rPr>
            </w:pPr>
          </w:p>
        </w:tc>
        <w:tc>
          <w:tcPr>
            <w:tcW w:w="2076" w:type="dxa"/>
            <w:gridSpan w:val="3"/>
            <w:tcBorders>
              <w:bottom w:val="single" w:color="auto" w:sz="4" w:space="0"/>
            </w:tcBorders>
            <w:vAlign w:val="center"/>
          </w:tcPr>
          <w:p w14:paraId="38569383">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子样1</w:t>
            </w:r>
          </w:p>
        </w:tc>
        <w:tc>
          <w:tcPr>
            <w:tcW w:w="2076" w:type="dxa"/>
            <w:gridSpan w:val="3"/>
            <w:tcBorders>
              <w:bottom w:val="single" w:color="auto" w:sz="4" w:space="0"/>
            </w:tcBorders>
            <w:vAlign w:val="center"/>
          </w:tcPr>
          <w:p w14:paraId="050021B8">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子样2</w:t>
            </w:r>
          </w:p>
        </w:tc>
        <w:tc>
          <w:tcPr>
            <w:tcW w:w="2082" w:type="dxa"/>
            <w:gridSpan w:val="3"/>
            <w:tcBorders>
              <w:bottom w:val="single" w:color="auto" w:sz="4" w:space="0"/>
            </w:tcBorders>
            <w:vAlign w:val="center"/>
          </w:tcPr>
          <w:p w14:paraId="3510BE99">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子样3</w:t>
            </w:r>
          </w:p>
        </w:tc>
      </w:tr>
      <w:tr w14:paraId="4A63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33" w:type="dxa"/>
            <w:vMerge w:val="continue"/>
            <w:tcBorders>
              <w:bottom w:val="single" w:color="auto" w:sz="4" w:space="0"/>
            </w:tcBorders>
            <w:vAlign w:val="center"/>
          </w:tcPr>
          <w:p w14:paraId="74615524">
            <w:pPr>
              <w:spacing w:beforeLines="20"/>
              <w:jc w:val="center"/>
              <w:rPr>
                <w:rFonts w:hint="default" w:ascii="Times New Roman" w:hAnsi="Times New Roman" w:eastAsia="宋体" w:cs="Times New Roman"/>
                <w:b/>
                <w:sz w:val="18"/>
                <w:szCs w:val="18"/>
              </w:rPr>
            </w:pPr>
          </w:p>
        </w:tc>
        <w:tc>
          <w:tcPr>
            <w:tcW w:w="692" w:type="dxa"/>
            <w:tcBorders>
              <w:bottom w:val="single" w:color="auto" w:sz="4" w:space="0"/>
            </w:tcBorders>
            <w:vAlign w:val="center"/>
          </w:tcPr>
          <w:p w14:paraId="5A9ED97D">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重复1</w:t>
            </w:r>
          </w:p>
        </w:tc>
        <w:tc>
          <w:tcPr>
            <w:tcW w:w="692" w:type="dxa"/>
            <w:tcBorders>
              <w:bottom w:val="single" w:color="auto" w:sz="4" w:space="0"/>
            </w:tcBorders>
            <w:vAlign w:val="center"/>
          </w:tcPr>
          <w:p w14:paraId="7A5CBBD4">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重复2</w:t>
            </w:r>
          </w:p>
        </w:tc>
        <w:tc>
          <w:tcPr>
            <w:tcW w:w="692" w:type="dxa"/>
            <w:tcBorders>
              <w:bottom w:val="single" w:color="auto" w:sz="4" w:space="0"/>
            </w:tcBorders>
            <w:vAlign w:val="center"/>
          </w:tcPr>
          <w:p w14:paraId="27D14FA2">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重复3</w:t>
            </w:r>
          </w:p>
        </w:tc>
        <w:tc>
          <w:tcPr>
            <w:tcW w:w="692" w:type="dxa"/>
            <w:tcBorders>
              <w:bottom w:val="single" w:color="auto" w:sz="4" w:space="0"/>
            </w:tcBorders>
            <w:vAlign w:val="center"/>
          </w:tcPr>
          <w:p w14:paraId="2DAB354E">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重复1</w:t>
            </w:r>
          </w:p>
        </w:tc>
        <w:tc>
          <w:tcPr>
            <w:tcW w:w="692" w:type="dxa"/>
            <w:tcBorders>
              <w:bottom w:val="single" w:color="auto" w:sz="4" w:space="0"/>
            </w:tcBorders>
            <w:vAlign w:val="center"/>
          </w:tcPr>
          <w:p w14:paraId="141E5AC9">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重复2</w:t>
            </w:r>
          </w:p>
        </w:tc>
        <w:tc>
          <w:tcPr>
            <w:tcW w:w="692" w:type="dxa"/>
            <w:tcBorders>
              <w:bottom w:val="single" w:color="auto" w:sz="4" w:space="0"/>
            </w:tcBorders>
            <w:vAlign w:val="center"/>
          </w:tcPr>
          <w:p w14:paraId="54CE66F2">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重复3</w:t>
            </w:r>
          </w:p>
        </w:tc>
        <w:tc>
          <w:tcPr>
            <w:tcW w:w="692" w:type="dxa"/>
            <w:tcBorders>
              <w:bottom w:val="single" w:color="auto" w:sz="4" w:space="0"/>
            </w:tcBorders>
            <w:vAlign w:val="center"/>
          </w:tcPr>
          <w:p w14:paraId="74CC7FE6">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重复1</w:t>
            </w:r>
          </w:p>
        </w:tc>
        <w:tc>
          <w:tcPr>
            <w:tcW w:w="692" w:type="dxa"/>
            <w:tcBorders>
              <w:bottom w:val="single" w:color="auto" w:sz="4" w:space="0"/>
            </w:tcBorders>
            <w:vAlign w:val="center"/>
          </w:tcPr>
          <w:p w14:paraId="74E4E245">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重复2</w:t>
            </w:r>
          </w:p>
        </w:tc>
        <w:tc>
          <w:tcPr>
            <w:tcW w:w="698" w:type="dxa"/>
            <w:tcBorders>
              <w:bottom w:val="single" w:color="auto" w:sz="4" w:space="0"/>
            </w:tcBorders>
            <w:vAlign w:val="center"/>
          </w:tcPr>
          <w:p w14:paraId="4D0C85A1">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重复3</w:t>
            </w:r>
          </w:p>
        </w:tc>
      </w:tr>
      <w:tr w14:paraId="6469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5148D4E7">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空白质控品</w:t>
            </w:r>
          </w:p>
        </w:tc>
        <w:tc>
          <w:tcPr>
            <w:tcW w:w="692" w:type="dxa"/>
            <w:vAlign w:val="center"/>
          </w:tcPr>
          <w:p w14:paraId="3EC6127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DC7E18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73B8EB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F81E29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A68941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1D2128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470971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EFF428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569848C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55C1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7103796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阴性质控品</w:t>
            </w:r>
          </w:p>
        </w:tc>
        <w:tc>
          <w:tcPr>
            <w:tcW w:w="692" w:type="dxa"/>
            <w:vAlign w:val="center"/>
          </w:tcPr>
          <w:p w14:paraId="41181A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558EE6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7CAD204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17F6D36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17DF9D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4045FCD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01E332A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610B80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8" w:type="dxa"/>
            <w:vAlign w:val="center"/>
          </w:tcPr>
          <w:p w14:paraId="079AB6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1C1E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6025D57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阳性质控品</w:t>
            </w:r>
          </w:p>
        </w:tc>
        <w:tc>
          <w:tcPr>
            <w:tcW w:w="692" w:type="dxa"/>
            <w:vAlign w:val="center"/>
          </w:tcPr>
          <w:p w14:paraId="504D0F2A">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CA5818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42F569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CAEA28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1090B8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C8ECB7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78E28C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06008C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7C2B7BE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6470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0AF6A8D1">
            <w:pPr>
              <w:widowControl/>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1% </w:t>
            </w:r>
            <w:r>
              <w:rPr>
                <w:rFonts w:hint="eastAsia" w:cs="Times New Roman"/>
                <w:bCs/>
                <w:sz w:val="18"/>
                <w:szCs w:val="18"/>
                <w:lang w:eastAsia="zh-CN"/>
              </w:rPr>
              <w:t>QY2569-42</w:t>
            </w:r>
            <w:r>
              <w:rPr>
                <w:rFonts w:hint="default" w:ascii="Times New Roman" w:hAnsi="Times New Roman" w:eastAsia="宋体" w:cs="Times New Roman"/>
                <w:bCs/>
                <w:sz w:val="18"/>
                <w:szCs w:val="18"/>
              </w:rPr>
              <w:t>玉米</w:t>
            </w:r>
          </w:p>
        </w:tc>
        <w:tc>
          <w:tcPr>
            <w:tcW w:w="692" w:type="dxa"/>
            <w:vAlign w:val="center"/>
          </w:tcPr>
          <w:p w14:paraId="23C442E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E511D9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48612F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5B5BA6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BC623D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B9FA3C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96214C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CA4C9B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25F68F4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1678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3C609785">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其它转基因玉米混合样</w:t>
            </w:r>
          </w:p>
        </w:tc>
        <w:tc>
          <w:tcPr>
            <w:tcW w:w="692" w:type="dxa"/>
            <w:vAlign w:val="center"/>
          </w:tcPr>
          <w:p w14:paraId="106DEE5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47F302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EB7FDA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A867E9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1F1342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E83883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DEB785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2ABCDA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47B8375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7A68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23D667F2">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w:t>
            </w:r>
            <w:r>
              <w:rPr>
                <w:rFonts w:hint="default" w:ascii="Times New Roman" w:hAnsi="Times New Roman" w:eastAsia="宋体" w:cs="Times New Roman"/>
                <w:bCs/>
                <w:sz w:val="18"/>
                <w:szCs w:val="18"/>
                <w:lang w:eastAsia="zh-CN"/>
              </w:rPr>
              <w:t>大豆</w:t>
            </w:r>
            <w:r>
              <w:rPr>
                <w:rFonts w:hint="default" w:ascii="Times New Roman" w:hAnsi="Times New Roman" w:eastAsia="宋体" w:cs="Times New Roman"/>
                <w:bCs/>
                <w:sz w:val="18"/>
                <w:szCs w:val="18"/>
              </w:rPr>
              <w:t>混合样</w:t>
            </w:r>
          </w:p>
        </w:tc>
        <w:tc>
          <w:tcPr>
            <w:tcW w:w="692" w:type="dxa"/>
            <w:vAlign w:val="center"/>
          </w:tcPr>
          <w:p w14:paraId="1B35969A">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ADF3F2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1A9AA5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605AAB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27610C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87B0EC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02028C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29AB70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09D470E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5610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1BB8ED42">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转基因水稻混合样</w:t>
            </w:r>
          </w:p>
        </w:tc>
        <w:tc>
          <w:tcPr>
            <w:tcW w:w="692" w:type="dxa"/>
            <w:vAlign w:val="center"/>
          </w:tcPr>
          <w:p w14:paraId="7F351CE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E950A7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316807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551050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DF0276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AD0A16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0D78A8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F3AC0A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2FBDF49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7A1A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7470F9AF">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转基因棉花混合样</w:t>
            </w:r>
          </w:p>
        </w:tc>
        <w:tc>
          <w:tcPr>
            <w:tcW w:w="692" w:type="dxa"/>
            <w:vAlign w:val="center"/>
          </w:tcPr>
          <w:p w14:paraId="492AA68A">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BF11B8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DCE07A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795025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E9D860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FD9B00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E651A9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32D028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3C7BD67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6601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3E69A29C">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转基因油菜混合样</w:t>
            </w:r>
          </w:p>
        </w:tc>
        <w:tc>
          <w:tcPr>
            <w:tcW w:w="692" w:type="dxa"/>
            <w:vAlign w:val="center"/>
          </w:tcPr>
          <w:p w14:paraId="3CEED97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31BFAD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195AC6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2BFDA0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418D1A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1F68EE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461A07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F2EAD2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16BCD4A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6770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3B8F1C74">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非转基因玉米混合样</w:t>
            </w:r>
          </w:p>
        </w:tc>
        <w:tc>
          <w:tcPr>
            <w:tcW w:w="692" w:type="dxa"/>
            <w:vAlign w:val="center"/>
          </w:tcPr>
          <w:p w14:paraId="46AC5B9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A51106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77C390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7287B8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AA417C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634353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8A2F02A">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14BF93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5B9B1B9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3B51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3" w:type="dxa"/>
            <w:vAlign w:val="center"/>
          </w:tcPr>
          <w:p w14:paraId="71E75D7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0.05% </w:t>
            </w:r>
            <w:r>
              <w:rPr>
                <w:rFonts w:hint="eastAsia" w:cs="Times New Roman"/>
                <w:bCs/>
                <w:sz w:val="18"/>
                <w:szCs w:val="18"/>
                <w:lang w:eastAsia="zh-CN"/>
              </w:rPr>
              <w:t>QY2569-42</w:t>
            </w:r>
            <w:r>
              <w:rPr>
                <w:rFonts w:hint="default" w:ascii="Times New Roman" w:hAnsi="Times New Roman" w:eastAsia="宋体" w:cs="Times New Roman"/>
                <w:bCs/>
                <w:sz w:val="18"/>
                <w:szCs w:val="18"/>
              </w:rPr>
              <w:t>玉米</w:t>
            </w:r>
          </w:p>
          <w:p w14:paraId="2B86E0CD">
            <w:pPr>
              <w:jc w:val="center"/>
              <w:rPr>
                <w:rFonts w:hint="default" w:ascii="Times New Roman" w:hAnsi="Times New Roman" w:eastAsia="宋体" w:cs="Times New Roman"/>
                <w:bCs/>
                <w:sz w:val="18"/>
                <w:szCs w:val="18"/>
                <w:lang w:eastAsia="zh-CN"/>
              </w:rPr>
            </w:pPr>
            <w:r>
              <w:rPr>
                <w:rFonts w:hint="default" w:ascii="Times New Roman" w:hAnsi="Times New Roman" w:eastAsia="宋体" w:cs="Times New Roman"/>
                <w:bCs/>
                <w:sz w:val="18"/>
                <w:szCs w:val="18"/>
                <w:lang w:eastAsia="zh-CN"/>
              </w:rPr>
              <w:t>（检出限）</w:t>
            </w:r>
          </w:p>
        </w:tc>
        <w:tc>
          <w:tcPr>
            <w:tcW w:w="692" w:type="dxa"/>
            <w:vAlign w:val="center"/>
          </w:tcPr>
          <w:p w14:paraId="3C07F9A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A21333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6B0F1C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FA3C9E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3D808E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02C6AA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E5B014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3BE4EA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47AAE39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bl>
    <w:p w14:paraId="4C87B29F">
      <w:pPr>
        <w:spacing w:line="290" w:lineRule="exact"/>
        <w:ind w:firstLine="36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注：“+”表示阳性结果，“—”表示阴性结果，“/”表示不需验证</w:t>
      </w:r>
      <w:r>
        <w:rPr>
          <w:rFonts w:hint="default" w:ascii="Times New Roman" w:hAnsi="Times New Roman" w:eastAsia="宋体" w:cs="Times New Roman"/>
          <w:sz w:val="18"/>
          <w:szCs w:val="18"/>
          <w:lang w:eastAsia="zh-CN"/>
        </w:rPr>
        <w:t>。</w:t>
      </w:r>
    </w:p>
    <w:p w14:paraId="0A0C23A3">
      <w:pPr>
        <w:pStyle w:val="4"/>
        <w:numPr>
          <w:ilvl w:val="0"/>
          <w:numId w:val="0"/>
        </w:numPr>
        <w:bidi w:val="0"/>
        <w:spacing w:before="50" w:beforeLines="50" w:after="50" w:afterLines="50" w:line="240" w:lineRule="auto"/>
        <w:ind w:firstLine="420" w:firstLineChars="200"/>
        <w:rPr>
          <w:rFonts w:ascii="Times New Roman" w:hAnsi="Times New Roman" w:eastAsia="黑体" w:cs="Calibri"/>
          <w:b w:val="0"/>
          <w:sz w:val="21"/>
        </w:rPr>
      </w:pPr>
      <w:r>
        <w:rPr>
          <w:rFonts w:hint="eastAsia" w:ascii="Times New Roman" w:hAnsi="Times New Roman" w:eastAsia="黑体" w:cs="Calibri"/>
          <w:b w:val="0"/>
          <w:sz w:val="21"/>
          <w:lang w:val="en-US" w:eastAsia="zh-CN"/>
        </w:rPr>
        <w:t>1.</w:t>
      </w:r>
      <w:r>
        <w:rPr>
          <w:rFonts w:ascii="Times New Roman" w:hAnsi="Times New Roman" w:eastAsia="黑体" w:cs="Calibri"/>
          <w:b w:val="0"/>
          <w:sz w:val="21"/>
        </w:rPr>
        <w:t>2 检出限验证</w:t>
      </w:r>
    </w:p>
    <w:p w14:paraId="1A5BE9B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8个实验室分别对拷贝数比值为0.05%（本方法的检出限是在PCR检测反应体系中加入100 ng DNA模板进行测算的，相当于反应体系中含有20拷贝的</w:t>
      </w:r>
      <w:r>
        <w:rPr>
          <w:rFonts w:hint="eastAsia" w:cs="Calibri"/>
          <w:szCs w:val="22"/>
          <w:lang w:eastAsia="zh-CN"/>
        </w:rPr>
        <w:t>QY2569-42</w:t>
      </w:r>
      <w:r>
        <w:rPr>
          <w:rFonts w:ascii="Times New Roman" w:hAnsi="Times New Roman" w:cs="Calibri"/>
          <w:szCs w:val="22"/>
        </w:rPr>
        <w:t>转化体特异性序列）的</w:t>
      </w:r>
      <w:r>
        <w:rPr>
          <w:rFonts w:hint="eastAsia" w:cs="Calibri"/>
          <w:szCs w:val="22"/>
          <w:lang w:eastAsia="zh-CN"/>
        </w:rPr>
        <w:t>QY2569-42</w:t>
      </w:r>
      <w:r>
        <w:rPr>
          <w:rFonts w:ascii="Times New Roman" w:hAnsi="Times New Roman" w:cs="Calibri"/>
          <w:szCs w:val="22"/>
        </w:rPr>
        <w:t>样品进行了测试，结果显示，8个实验室的72个反应均有典型扩增曲线，结果见表</w:t>
      </w:r>
      <w:r>
        <w:rPr>
          <w:rFonts w:hint="eastAsia" w:cs="Calibri"/>
          <w:szCs w:val="22"/>
          <w:lang w:val="en-US" w:eastAsia="zh-CN"/>
        </w:rPr>
        <w:t>3</w:t>
      </w:r>
      <w:r>
        <w:rPr>
          <w:rFonts w:ascii="Times New Roman" w:hAnsi="Times New Roman" w:cs="Calibri"/>
          <w:szCs w:val="22"/>
        </w:rPr>
        <w:t>-2，与实验室内测试出的LOD值相符。表明本方法中抗虫耐除草剂玉米</w:t>
      </w:r>
      <w:r>
        <w:rPr>
          <w:rFonts w:hint="eastAsia" w:cs="Calibri"/>
          <w:szCs w:val="22"/>
          <w:lang w:eastAsia="zh-CN"/>
        </w:rPr>
        <w:t>QY2569-42</w:t>
      </w:r>
      <w:r>
        <w:rPr>
          <w:rFonts w:ascii="Times New Roman" w:hAnsi="Times New Roman" w:cs="Calibri"/>
          <w:szCs w:val="22"/>
        </w:rPr>
        <w:t>转化体特异性序列实时荧光PCR方法的检出限为0.05%，相当于反应体系中含有20拷贝的</w:t>
      </w:r>
      <w:r>
        <w:rPr>
          <w:rFonts w:hint="eastAsia" w:cs="Calibri"/>
          <w:szCs w:val="22"/>
          <w:lang w:eastAsia="zh-CN"/>
        </w:rPr>
        <w:t>QY2569-42</w:t>
      </w:r>
      <w:r>
        <w:rPr>
          <w:rFonts w:ascii="Times New Roman" w:hAnsi="Times New Roman" w:cs="Calibri"/>
          <w:szCs w:val="22"/>
        </w:rPr>
        <w:t>转化体特异性序列。</w:t>
      </w:r>
    </w:p>
    <w:p w14:paraId="1321FEF7">
      <w:pPr>
        <w:pStyle w:val="8"/>
        <w:keepNext/>
        <w:bidi w:val="0"/>
        <w:spacing w:line="240" w:lineRule="auto"/>
        <w:ind w:firstLine="0" w:firstLineChars="0"/>
        <w:jc w:val="center"/>
        <w:rPr>
          <w:rFonts w:ascii="Times New Roman" w:hAnsi="Times New Roman" w:eastAsia="黑体" w:cs="Calibri"/>
          <w:sz w:val="18"/>
          <w:szCs w:val="22"/>
          <w:lang w:val="en-US" w:eastAsia="zh-CN"/>
        </w:rPr>
      </w:pPr>
      <w:r>
        <w:rPr>
          <w:rFonts w:ascii="Times New Roman" w:hAnsi="Times New Roman" w:eastAsia="黑体" w:cs="Calibri"/>
          <w:sz w:val="18"/>
          <w:szCs w:val="22"/>
          <w:lang w:val="en-US" w:eastAsia="zh-CN"/>
        </w:rPr>
        <w:t>表</w:t>
      </w:r>
      <w:r>
        <w:rPr>
          <w:rFonts w:hint="eastAsia" w:ascii="Times New Roman" w:hAnsi="Times New Roman" w:eastAsia="黑体" w:cs="Calibri"/>
          <w:sz w:val="18"/>
          <w:szCs w:val="22"/>
          <w:lang w:val="en-US" w:eastAsia="zh-CN"/>
        </w:rPr>
        <w:t>3</w:t>
      </w:r>
      <w:r>
        <w:rPr>
          <w:rFonts w:ascii="Times New Roman" w:hAnsi="Times New Roman" w:eastAsia="黑体" w:cs="Calibri"/>
          <w:sz w:val="18"/>
          <w:szCs w:val="22"/>
          <w:lang w:val="en-US" w:eastAsia="zh-CN"/>
        </w:rPr>
        <w:t>-2 抗虫耐除草剂玉米</w:t>
      </w:r>
      <w:r>
        <w:rPr>
          <w:rFonts w:hint="eastAsia" w:ascii="Times New Roman" w:hAnsi="Times New Roman" w:eastAsia="黑体" w:cs="Calibri"/>
          <w:sz w:val="18"/>
          <w:szCs w:val="22"/>
          <w:lang w:val="en-US" w:eastAsia="zh-CN"/>
        </w:rPr>
        <w:t>QY2569-42</w:t>
      </w:r>
      <w:r>
        <w:rPr>
          <w:rFonts w:ascii="Times New Roman" w:hAnsi="Times New Roman" w:eastAsia="黑体" w:cs="Calibri"/>
          <w:sz w:val="18"/>
          <w:szCs w:val="22"/>
          <w:lang w:val="en-US" w:eastAsia="zh-CN"/>
        </w:rPr>
        <w:t>转化体实时荧光PCR方法检出限室间测试结果</w:t>
      </w:r>
    </w:p>
    <w:tbl>
      <w:tblPr>
        <w:tblStyle w:val="16"/>
        <w:tblW w:w="7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9"/>
        <w:gridCol w:w="767"/>
        <w:gridCol w:w="767"/>
        <w:gridCol w:w="767"/>
        <w:gridCol w:w="767"/>
        <w:gridCol w:w="767"/>
        <w:gridCol w:w="767"/>
        <w:gridCol w:w="767"/>
        <w:gridCol w:w="767"/>
        <w:gridCol w:w="769"/>
      </w:tblGrid>
      <w:tr w14:paraId="3CFB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vMerge w:val="restart"/>
            <w:tcMar>
              <w:top w:w="15" w:type="dxa"/>
              <w:left w:w="15" w:type="dxa"/>
              <w:right w:w="15" w:type="dxa"/>
            </w:tcMar>
            <w:vAlign w:val="center"/>
          </w:tcPr>
          <w:p w14:paraId="24752C40">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w:t>
            </w:r>
          </w:p>
        </w:tc>
        <w:tc>
          <w:tcPr>
            <w:tcW w:w="6905" w:type="dxa"/>
            <w:gridSpan w:val="9"/>
            <w:tcMar>
              <w:top w:w="15" w:type="dxa"/>
              <w:left w:w="15" w:type="dxa"/>
              <w:right w:w="15" w:type="dxa"/>
            </w:tcMar>
            <w:vAlign w:val="center"/>
          </w:tcPr>
          <w:p w14:paraId="08B86B2B">
            <w:pPr>
              <w:widowControl/>
              <w:jc w:val="center"/>
              <w:textAlignment w:val="center"/>
              <w:rPr>
                <w:rFonts w:hint="default" w:ascii="Times New Roman" w:hAnsi="Times New Roman" w:eastAsia="宋体" w:cs="Times New Roman"/>
                <w:b w:val="0"/>
                <w:bCs w:val="0"/>
                <w:kern w:val="0"/>
                <w:sz w:val="18"/>
                <w:szCs w:val="18"/>
                <w:lang w:eastAsia="zh-CN"/>
              </w:rPr>
            </w:pPr>
            <w:r>
              <w:rPr>
                <w:rFonts w:hint="default" w:ascii="Times New Roman" w:hAnsi="Times New Roman" w:eastAsia="宋体" w:cs="Times New Roman"/>
                <w:b w:val="0"/>
                <w:bCs w:val="0"/>
                <w:kern w:val="0"/>
                <w:sz w:val="18"/>
                <w:szCs w:val="18"/>
              </w:rPr>
              <w:t>0.05</w:t>
            </w:r>
            <w:r>
              <w:rPr>
                <w:rFonts w:hint="default" w:ascii="Times New Roman" w:hAnsi="Times New Roman" w:eastAsia="宋体" w:cs="Times New Roman"/>
                <w:b w:val="0"/>
                <w:bCs w:val="0"/>
                <w:sz w:val="18"/>
                <w:szCs w:val="18"/>
              </w:rPr>
              <w:t xml:space="preserve">% </w:t>
            </w:r>
            <w:r>
              <w:rPr>
                <w:rFonts w:hint="eastAsia" w:cs="Times New Roman"/>
                <w:b w:val="0"/>
                <w:bCs w:val="0"/>
                <w:sz w:val="18"/>
                <w:szCs w:val="18"/>
                <w:lang w:eastAsia="zh-CN"/>
              </w:rPr>
              <w:t>QY2569-42</w:t>
            </w:r>
          </w:p>
        </w:tc>
      </w:tr>
      <w:tr w14:paraId="1E45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vMerge w:val="continue"/>
            <w:tcMar>
              <w:top w:w="15" w:type="dxa"/>
              <w:left w:w="15" w:type="dxa"/>
              <w:right w:w="15" w:type="dxa"/>
            </w:tcMar>
            <w:vAlign w:val="center"/>
          </w:tcPr>
          <w:p w14:paraId="6F1E9BA6">
            <w:pPr>
              <w:jc w:val="center"/>
              <w:rPr>
                <w:rFonts w:hint="default" w:ascii="Times New Roman" w:hAnsi="Times New Roman" w:eastAsia="宋体" w:cs="Times New Roman"/>
                <w:b w:val="0"/>
                <w:bCs w:val="0"/>
                <w:sz w:val="18"/>
                <w:szCs w:val="18"/>
              </w:rPr>
            </w:pPr>
          </w:p>
        </w:tc>
        <w:tc>
          <w:tcPr>
            <w:tcW w:w="2301" w:type="dxa"/>
            <w:gridSpan w:val="3"/>
            <w:tcMar>
              <w:top w:w="15" w:type="dxa"/>
              <w:left w:w="15" w:type="dxa"/>
              <w:right w:w="15" w:type="dxa"/>
            </w:tcMar>
            <w:vAlign w:val="center"/>
          </w:tcPr>
          <w:p w14:paraId="71CD704C">
            <w:pPr>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子样1</w:t>
            </w:r>
          </w:p>
        </w:tc>
        <w:tc>
          <w:tcPr>
            <w:tcW w:w="2301" w:type="dxa"/>
            <w:gridSpan w:val="3"/>
            <w:tcMar>
              <w:top w:w="15" w:type="dxa"/>
              <w:left w:w="15" w:type="dxa"/>
              <w:right w:w="15" w:type="dxa"/>
            </w:tcMar>
            <w:vAlign w:val="center"/>
          </w:tcPr>
          <w:p w14:paraId="0F613BDC">
            <w:pPr>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子样2</w:t>
            </w:r>
          </w:p>
        </w:tc>
        <w:tc>
          <w:tcPr>
            <w:tcW w:w="2303" w:type="dxa"/>
            <w:gridSpan w:val="3"/>
            <w:tcMar>
              <w:top w:w="15" w:type="dxa"/>
              <w:left w:w="15" w:type="dxa"/>
              <w:right w:w="15" w:type="dxa"/>
            </w:tcMar>
            <w:vAlign w:val="center"/>
          </w:tcPr>
          <w:p w14:paraId="4D11AC9B">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子样3</w:t>
            </w:r>
          </w:p>
        </w:tc>
      </w:tr>
      <w:tr w14:paraId="47E0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vMerge w:val="continue"/>
            <w:tcMar>
              <w:top w:w="15" w:type="dxa"/>
              <w:left w:w="15" w:type="dxa"/>
              <w:right w:w="15" w:type="dxa"/>
            </w:tcMar>
            <w:vAlign w:val="center"/>
          </w:tcPr>
          <w:p w14:paraId="61692C08">
            <w:pPr>
              <w:jc w:val="center"/>
              <w:rPr>
                <w:rFonts w:hint="default" w:ascii="Times New Roman" w:hAnsi="Times New Roman" w:eastAsia="宋体" w:cs="Times New Roman"/>
                <w:b w:val="0"/>
                <w:bCs w:val="0"/>
                <w:sz w:val="18"/>
                <w:szCs w:val="18"/>
              </w:rPr>
            </w:pPr>
          </w:p>
        </w:tc>
        <w:tc>
          <w:tcPr>
            <w:tcW w:w="767" w:type="dxa"/>
            <w:tcMar>
              <w:top w:w="15" w:type="dxa"/>
              <w:left w:w="15" w:type="dxa"/>
              <w:right w:w="15" w:type="dxa"/>
            </w:tcMar>
            <w:vAlign w:val="center"/>
          </w:tcPr>
          <w:p w14:paraId="3FD9BEF6">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重复1</w:t>
            </w:r>
          </w:p>
        </w:tc>
        <w:tc>
          <w:tcPr>
            <w:tcW w:w="767" w:type="dxa"/>
            <w:tcMar>
              <w:top w:w="15" w:type="dxa"/>
              <w:left w:w="15" w:type="dxa"/>
              <w:right w:w="15" w:type="dxa"/>
            </w:tcMar>
            <w:vAlign w:val="center"/>
          </w:tcPr>
          <w:p w14:paraId="14BA1A63">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重复2</w:t>
            </w:r>
          </w:p>
        </w:tc>
        <w:tc>
          <w:tcPr>
            <w:tcW w:w="767" w:type="dxa"/>
            <w:tcMar>
              <w:top w:w="15" w:type="dxa"/>
              <w:left w:w="15" w:type="dxa"/>
              <w:right w:w="15" w:type="dxa"/>
            </w:tcMar>
            <w:vAlign w:val="center"/>
          </w:tcPr>
          <w:p w14:paraId="366C2147">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重复3</w:t>
            </w:r>
          </w:p>
        </w:tc>
        <w:tc>
          <w:tcPr>
            <w:tcW w:w="767" w:type="dxa"/>
            <w:tcMar>
              <w:top w:w="15" w:type="dxa"/>
              <w:left w:w="15" w:type="dxa"/>
              <w:right w:w="15" w:type="dxa"/>
            </w:tcMar>
            <w:vAlign w:val="center"/>
          </w:tcPr>
          <w:p w14:paraId="1238CB1D">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重复1</w:t>
            </w:r>
          </w:p>
        </w:tc>
        <w:tc>
          <w:tcPr>
            <w:tcW w:w="767" w:type="dxa"/>
            <w:tcMar>
              <w:top w:w="15" w:type="dxa"/>
              <w:left w:w="15" w:type="dxa"/>
              <w:right w:w="15" w:type="dxa"/>
            </w:tcMar>
            <w:vAlign w:val="center"/>
          </w:tcPr>
          <w:p w14:paraId="7BDE88DB">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重复2</w:t>
            </w:r>
          </w:p>
        </w:tc>
        <w:tc>
          <w:tcPr>
            <w:tcW w:w="767" w:type="dxa"/>
            <w:tcMar>
              <w:top w:w="15" w:type="dxa"/>
              <w:left w:w="15" w:type="dxa"/>
              <w:right w:w="15" w:type="dxa"/>
            </w:tcMar>
            <w:vAlign w:val="center"/>
          </w:tcPr>
          <w:p w14:paraId="24A9FB02">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重复3</w:t>
            </w:r>
          </w:p>
        </w:tc>
        <w:tc>
          <w:tcPr>
            <w:tcW w:w="767" w:type="dxa"/>
            <w:tcMar>
              <w:top w:w="15" w:type="dxa"/>
              <w:left w:w="15" w:type="dxa"/>
              <w:right w:w="15" w:type="dxa"/>
            </w:tcMar>
            <w:vAlign w:val="center"/>
          </w:tcPr>
          <w:p w14:paraId="623B85E0">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重复1</w:t>
            </w:r>
          </w:p>
        </w:tc>
        <w:tc>
          <w:tcPr>
            <w:tcW w:w="767" w:type="dxa"/>
            <w:tcMar>
              <w:top w:w="15" w:type="dxa"/>
              <w:left w:w="15" w:type="dxa"/>
              <w:right w:w="15" w:type="dxa"/>
            </w:tcMar>
            <w:vAlign w:val="center"/>
          </w:tcPr>
          <w:p w14:paraId="75AF8766">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重复2</w:t>
            </w:r>
          </w:p>
        </w:tc>
        <w:tc>
          <w:tcPr>
            <w:tcW w:w="769" w:type="dxa"/>
            <w:tcMar>
              <w:top w:w="15" w:type="dxa"/>
              <w:left w:w="15" w:type="dxa"/>
              <w:right w:w="15" w:type="dxa"/>
            </w:tcMar>
            <w:vAlign w:val="center"/>
          </w:tcPr>
          <w:p w14:paraId="3CE9F595">
            <w:pPr>
              <w:jc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sz w:val="18"/>
                <w:szCs w:val="18"/>
              </w:rPr>
              <w:t>重复3</w:t>
            </w:r>
          </w:p>
        </w:tc>
      </w:tr>
      <w:tr w14:paraId="6944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5F122C46">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Lab1</w:t>
            </w:r>
          </w:p>
        </w:tc>
        <w:tc>
          <w:tcPr>
            <w:tcW w:w="767" w:type="dxa"/>
            <w:tcMar>
              <w:top w:w="15" w:type="dxa"/>
              <w:left w:w="15" w:type="dxa"/>
              <w:right w:w="15" w:type="dxa"/>
            </w:tcMar>
            <w:vAlign w:val="center"/>
          </w:tcPr>
          <w:p w14:paraId="1D19D860">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5B0C763">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63D962DB">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40245F2">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B81B90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CF4A6A8">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50B00A40">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CD00F9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3B0ECB81">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1FAC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362533F9">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Lab2</w:t>
            </w:r>
          </w:p>
        </w:tc>
        <w:tc>
          <w:tcPr>
            <w:tcW w:w="767" w:type="dxa"/>
            <w:tcMar>
              <w:top w:w="15" w:type="dxa"/>
              <w:left w:w="15" w:type="dxa"/>
              <w:right w:w="15" w:type="dxa"/>
            </w:tcMar>
            <w:vAlign w:val="center"/>
          </w:tcPr>
          <w:p w14:paraId="51EE27B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00048B02">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7DD939A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E5B0C3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6A9EAC2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71B07211">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658C7326">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5417E99">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306E167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5143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5BDC1A72">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Lab3</w:t>
            </w:r>
          </w:p>
        </w:tc>
        <w:tc>
          <w:tcPr>
            <w:tcW w:w="767" w:type="dxa"/>
            <w:tcMar>
              <w:top w:w="15" w:type="dxa"/>
              <w:left w:w="15" w:type="dxa"/>
              <w:right w:w="15" w:type="dxa"/>
            </w:tcMar>
            <w:vAlign w:val="center"/>
          </w:tcPr>
          <w:p w14:paraId="744E8C75">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FDE87C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5232FD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E87EE9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0900109">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F371C41">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05195AC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7F0FD90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5591410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707A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517837A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Lab4</w:t>
            </w:r>
          </w:p>
        </w:tc>
        <w:tc>
          <w:tcPr>
            <w:tcW w:w="767" w:type="dxa"/>
            <w:tcMar>
              <w:top w:w="15" w:type="dxa"/>
              <w:left w:w="15" w:type="dxa"/>
              <w:right w:w="15" w:type="dxa"/>
            </w:tcMar>
            <w:vAlign w:val="center"/>
          </w:tcPr>
          <w:p w14:paraId="6660E273">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E6415BF">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0B260E0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B06D2A7">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D570B7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03C703A0">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7B0988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CCC62C9">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369EFEC7">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6846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10876033">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Lab5</w:t>
            </w:r>
          </w:p>
        </w:tc>
        <w:tc>
          <w:tcPr>
            <w:tcW w:w="767" w:type="dxa"/>
            <w:tcMar>
              <w:top w:w="15" w:type="dxa"/>
              <w:left w:w="15" w:type="dxa"/>
              <w:right w:w="15" w:type="dxa"/>
            </w:tcMar>
            <w:vAlign w:val="center"/>
          </w:tcPr>
          <w:p w14:paraId="33087EE8">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2E570E2">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3AD816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0AEBE7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6C0CDD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53AF1754">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0D8E61AF">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6527B3D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1BEFD48A">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2A5A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7262C6E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Lab6</w:t>
            </w:r>
          </w:p>
        </w:tc>
        <w:tc>
          <w:tcPr>
            <w:tcW w:w="767" w:type="dxa"/>
            <w:tcMar>
              <w:top w:w="15" w:type="dxa"/>
              <w:left w:w="15" w:type="dxa"/>
              <w:right w:w="15" w:type="dxa"/>
            </w:tcMar>
            <w:vAlign w:val="center"/>
          </w:tcPr>
          <w:p w14:paraId="73EACE62">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86F5805">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B738362">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085019A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348BA1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799448A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5E5802D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896FB07">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6185457F">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48FC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4417AE96">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Lab7</w:t>
            </w:r>
          </w:p>
        </w:tc>
        <w:tc>
          <w:tcPr>
            <w:tcW w:w="767" w:type="dxa"/>
            <w:tcMar>
              <w:top w:w="15" w:type="dxa"/>
              <w:left w:w="15" w:type="dxa"/>
              <w:right w:w="15" w:type="dxa"/>
            </w:tcMar>
            <w:vAlign w:val="center"/>
          </w:tcPr>
          <w:p w14:paraId="260230AF">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D90C74E">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60995D6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389398B">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48C4103">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C278E65">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2DB5268C">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8DC02BB">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12B78AA0">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r w14:paraId="2597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9" w:type="dxa"/>
            <w:tcMar>
              <w:top w:w="15" w:type="dxa"/>
              <w:left w:w="15" w:type="dxa"/>
              <w:right w:w="15" w:type="dxa"/>
            </w:tcMar>
            <w:vAlign w:val="center"/>
          </w:tcPr>
          <w:p w14:paraId="26AEA3C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kern w:val="0"/>
                <w:sz w:val="18"/>
                <w:szCs w:val="18"/>
              </w:rPr>
              <w:t>Lab8</w:t>
            </w:r>
          </w:p>
        </w:tc>
        <w:tc>
          <w:tcPr>
            <w:tcW w:w="767" w:type="dxa"/>
            <w:tcMar>
              <w:top w:w="15" w:type="dxa"/>
              <w:left w:w="15" w:type="dxa"/>
              <w:right w:w="15" w:type="dxa"/>
            </w:tcMar>
            <w:vAlign w:val="center"/>
          </w:tcPr>
          <w:p w14:paraId="4B372645">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73A7E11F">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F78BBD5">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3ADC1753">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19EBB3A">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5B1CA2D6">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4B6D91F0">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7" w:type="dxa"/>
            <w:tcMar>
              <w:top w:w="15" w:type="dxa"/>
              <w:left w:w="15" w:type="dxa"/>
              <w:right w:w="15" w:type="dxa"/>
            </w:tcMar>
            <w:vAlign w:val="center"/>
          </w:tcPr>
          <w:p w14:paraId="1DF14437">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c>
          <w:tcPr>
            <w:tcW w:w="769" w:type="dxa"/>
            <w:tcMar>
              <w:top w:w="15" w:type="dxa"/>
              <w:left w:w="15" w:type="dxa"/>
              <w:right w:w="15" w:type="dxa"/>
            </w:tcMar>
            <w:vAlign w:val="center"/>
          </w:tcPr>
          <w:p w14:paraId="54F625FD">
            <w:pPr>
              <w:widowControl/>
              <w:jc w:val="center"/>
              <w:textAlignment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w:t>
            </w:r>
          </w:p>
        </w:tc>
      </w:tr>
    </w:tbl>
    <w:p w14:paraId="756FD5E1">
      <w:pPr>
        <w:keepNext w:val="0"/>
        <w:keepLines w:val="0"/>
        <w:widowControl/>
        <w:suppressLineNumbers w:val="0"/>
        <w:jc w:val="left"/>
        <w:rPr>
          <w:rFonts w:eastAsia="仿宋"/>
          <w:bCs/>
          <w:sz w:val="32"/>
          <w:szCs w:val="32"/>
          <w:highlight w:val="none"/>
        </w:rPr>
      </w:pPr>
      <w:r>
        <w:rPr>
          <w:rFonts w:hint="default" w:ascii="Times New Roman" w:hAnsi="Times New Roman" w:eastAsia="宋体" w:cs="Times New Roman"/>
          <w:sz w:val="18"/>
          <w:szCs w:val="18"/>
          <w:highlight w:val="none"/>
        </w:rPr>
        <w:t>注：Lab1~Lab8分别代表农业农村部农产品及加工品质量安全检验测试中心（杭州）、农业农村部农作物种子质量检验测试中心（深圳）</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农业农村部农作物生态环境安全检验测试中心（合肥）、农业农村部农产品及加工品检验测试中心（南京）、农业农村部农作物生态环境安全检验测试中心（上海）、农业农村部植物及植物用微生物生态环境安全检验测试中心（广州）</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农业农村部农作物及产品质量检验测试中心（哈尔滨）</w:t>
      </w:r>
      <w:r>
        <w:rPr>
          <w:rFonts w:hint="eastAsia"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lang w:val="en-US" w:eastAsia="zh-CN"/>
        </w:rPr>
        <w:t>农业农村部谷物及制品质量检验测试中心（哈尔滨）</w:t>
      </w:r>
      <w:r>
        <w:rPr>
          <w:rFonts w:hint="default" w:ascii="Times New Roman" w:hAnsi="Times New Roman" w:eastAsia="宋体" w:cs="Times New Roman"/>
          <w:sz w:val="18"/>
          <w:szCs w:val="18"/>
          <w:highlight w:val="none"/>
        </w:rPr>
        <w:t>。</w:t>
      </w:r>
    </w:p>
    <w:p w14:paraId="640C34B7">
      <w:pPr>
        <w:pStyle w:val="5"/>
        <w:numPr>
          <w:ilvl w:val="0"/>
          <w:numId w:val="5"/>
        </w:numPr>
        <w:spacing w:beforeLines="100"/>
        <w:ind w:left="0" w:leftChars="0" w:firstLine="420" w:firstLineChars="200"/>
        <w:rPr>
          <w:rFonts w:ascii="Times New Roman" w:hAnsi="Times New Roman" w:eastAsia="黑体" w:cs="Calibri"/>
          <w:b w:val="0"/>
          <w:bCs/>
          <w:kern w:val="2"/>
          <w:sz w:val="21"/>
          <w:szCs w:val="32"/>
          <w:lang w:val="en-US" w:eastAsia="zh-CN" w:bidi="ar-SA"/>
        </w:rPr>
      </w:pPr>
      <w:r>
        <w:rPr>
          <w:rFonts w:ascii="Times New Roman" w:hAnsi="Times New Roman" w:eastAsia="黑体" w:cs="Calibri"/>
          <w:b w:val="0"/>
          <w:bCs/>
          <w:kern w:val="2"/>
          <w:sz w:val="21"/>
          <w:szCs w:val="32"/>
          <w:lang w:val="en-US" w:eastAsia="zh-CN" w:bidi="ar-SA"/>
        </w:rPr>
        <w:t>实时荧光PCR定量验证结果分析</w:t>
      </w:r>
    </w:p>
    <w:p w14:paraId="2B4F6CF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按照验证方案，8个实验室对5个水平（各转基因含量）样品进行定量检测，检测时在同一块PCR板上进行转化体和内标基因的PCR扩增，推荐按表</w:t>
      </w:r>
      <w:r>
        <w:rPr>
          <w:rFonts w:hint="eastAsia" w:cs="Calibri"/>
          <w:szCs w:val="22"/>
          <w:lang w:val="en-US" w:eastAsia="zh-CN"/>
        </w:rPr>
        <w:t>3</w:t>
      </w:r>
      <w:r>
        <w:rPr>
          <w:rFonts w:ascii="Times New Roman" w:hAnsi="Times New Roman" w:cs="Calibri"/>
          <w:szCs w:val="22"/>
        </w:rPr>
        <w:t>-3进行样品布局和数据统计分析。</w:t>
      </w:r>
    </w:p>
    <w:p w14:paraId="6BA79D4F">
      <w:pPr>
        <w:pStyle w:val="8"/>
        <w:keepNext/>
        <w:bidi w:val="0"/>
        <w:spacing w:line="240" w:lineRule="auto"/>
        <w:ind w:firstLine="0" w:firstLineChars="0"/>
        <w:jc w:val="center"/>
        <w:rPr>
          <w:rFonts w:ascii="Times New Roman" w:hAnsi="Times New Roman" w:eastAsia="黑体" w:cs="Calibri"/>
          <w:sz w:val="18"/>
          <w:szCs w:val="22"/>
          <w:lang w:val="en-US" w:eastAsia="zh-CN"/>
        </w:rPr>
      </w:pPr>
      <w:r>
        <w:rPr>
          <w:rFonts w:ascii="Times New Roman" w:hAnsi="Times New Roman" w:eastAsia="黑体" w:cs="Calibri"/>
          <w:sz w:val="18"/>
          <w:szCs w:val="22"/>
          <w:lang w:val="en-US" w:eastAsia="zh-CN"/>
        </w:rPr>
        <w:t>表</w:t>
      </w:r>
      <w:r>
        <w:rPr>
          <w:rFonts w:hint="eastAsia" w:ascii="Times New Roman" w:hAnsi="Times New Roman" w:eastAsia="黑体" w:cs="Calibri"/>
          <w:sz w:val="18"/>
          <w:szCs w:val="22"/>
          <w:lang w:val="en-US" w:eastAsia="zh-CN"/>
        </w:rPr>
        <w:t>3</w:t>
      </w:r>
      <w:r>
        <w:rPr>
          <w:rFonts w:ascii="Times New Roman" w:hAnsi="Times New Roman" w:eastAsia="黑体" w:cs="Calibri"/>
          <w:sz w:val="18"/>
          <w:szCs w:val="22"/>
          <w:lang w:val="en-US" w:eastAsia="zh-CN"/>
        </w:rPr>
        <w:t>-3 每个实验室各水平样品排列表</w:t>
      </w:r>
    </w:p>
    <w:tbl>
      <w:tblPr>
        <w:tblStyle w:val="28"/>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73"/>
        <w:gridCol w:w="984"/>
        <w:gridCol w:w="985"/>
        <w:gridCol w:w="1393"/>
        <w:gridCol w:w="883"/>
        <w:gridCol w:w="1026"/>
        <w:gridCol w:w="1034"/>
      </w:tblGrid>
      <w:tr w14:paraId="586D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0" w:type="dxa"/>
            <w:gridSpan w:val="4"/>
            <w:vAlign w:val="center"/>
          </w:tcPr>
          <w:p w14:paraId="0DD88B14">
            <w:pPr>
              <w:ind w:firstLine="420"/>
              <w:jc w:val="center"/>
              <w:rPr>
                <w:rFonts w:hint="default" w:ascii="Times New Roman" w:hAnsi="Times New Roman" w:eastAsia="宋体" w:cs="Times New Roman"/>
                <w:position w:val="-14"/>
                <w:sz w:val="18"/>
                <w:szCs w:val="18"/>
              </w:rPr>
            </w:pPr>
            <w:r>
              <w:rPr>
                <w:rFonts w:hint="default" w:ascii="Times New Roman" w:hAnsi="Times New Roman" w:eastAsia="宋体" w:cs="Times New Roman"/>
                <w:sz w:val="18"/>
                <w:szCs w:val="18"/>
              </w:rPr>
              <w:t>转化体特异性序列</w:t>
            </w:r>
          </w:p>
        </w:tc>
        <w:tc>
          <w:tcPr>
            <w:tcW w:w="4336" w:type="dxa"/>
            <w:gridSpan w:val="4"/>
            <w:vAlign w:val="center"/>
          </w:tcPr>
          <w:p w14:paraId="0259B3AF">
            <w:pPr>
              <w:wordWrap w:val="0"/>
              <w:overflowPunct w:val="0"/>
              <w:autoSpaceDE w:val="0"/>
              <w:autoSpaceDN w:val="0"/>
              <w:ind w:firstLine="42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内标准基因</w:t>
            </w:r>
          </w:p>
        </w:tc>
      </w:tr>
      <w:tr w14:paraId="28D8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Merge w:val="restart"/>
            <w:vAlign w:val="center"/>
          </w:tcPr>
          <w:p w14:paraId="469BBE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3个平行子样，每个子样3次PCR重复检测数据</w:t>
            </w:r>
          </w:p>
        </w:tc>
        <w:tc>
          <w:tcPr>
            <w:tcW w:w="773" w:type="dxa"/>
            <w:vAlign w:val="center"/>
          </w:tcPr>
          <w:p w14:paraId="59B8C858">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984" w:type="dxa"/>
            <w:vAlign w:val="center"/>
          </w:tcPr>
          <w:p w14:paraId="28E0177C">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985" w:type="dxa"/>
            <w:vAlign w:val="center"/>
          </w:tcPr>
          <w:p w14:paraId="68CB9A83">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393" w:type="dxa"/>
            <w:vMerge w:val="restart"/>
            <w:vAlign w:val="center"/>
          </w:tcPr>
          <w:p w14:paraId="2FED35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3个平行子样，每个子样3个PCR重复检测数据</w:t>
            </w:r>
          </w:p>
        </w:tc>
        <w:tc>
          <w:tcPr>
            <w:tcW w:w="883" w:type="dxa"/>
            <w:vAlign w:val="center"/>
          </w:tcPr>
          <w:p w14:paraId="68848B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26" w:type="dxa"/>
            <w:vAlign w:val="center"/>
          </w:tcPr>
          <w:p w14:paraId="22E26D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34" w:type="dxa"/>
            <w:vAlign w:val="center"/>
          </w:tcPr>
          <w:p w14:paraId="1DCE862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r>
      <w:tr w14:paraId="1887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Merge w:val="continue"/>
            <w:vAlign w:val="center"/>
          </w:tcPr>
          <w:p w14:paraId="373B5E37">
            <w:pPr>
              <w:ind w:firstLine="420"/>
              <w:jc w:val="center"/>
              <w:rPr>
                <w:rFonts w:hint="default" w:ascii="Times New Roman" w:hAnsi="Times New Roman" w:eastAsia="宋体" w:cs="Times New Roman"/>
                <w:sz w:val="18"/>
                <w:szCs w:val="18"/>
              </w:rPr>
            </w:pPr>
          </w:p>
        </w:tc>
        <w:tc>
          <w:tcPr>
            <w:tcW w:w="773" w:type="dxa"/>
            <w:vAlign w:val="center"/>
          </w:tcPr>
          <w:p w14:paraId="56610BB0">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984" w:type="dxa"/>
            <w:vAlign w:val="center"/>
          </w:tcPr>
          <w:p w14:paraId="0C0979DB">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985" w:type="dxa"/>
            <w:vAlign w:val="center"/>
          </w:tcPr>
          <w:p w14:paraId="4198E49D">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393" w:type="dxa"/>
            <w:vMerge w:val="continue"/>
            <w:vAlign w:val="center"/>
          </w:tcPr>
          <w:p w14:paraId="602F4A35">
            <w:pPr>
              <w:ind w:firstLine="420"/>
              <w:jc w:val="center"/>
              <w:rPr>
                <w:rFonts w:hint="default" w:ascii="Times New Roman" w:hAnsi="Times New Roman" w:eastAsia="宋体" w:cs="Times New Roman"/>
                <w:sz w:val="18"/>
                <w:szCs w:val="18"/>
              </w:rPr>
            </w:pPr>
          </w:p>
        </w:tc>
        <w:tc>
          <w:tcPr>
            <w:tcW w:w="883" w:type="dxa"/>
            <w:vAlign w:val="center"/>
          </w:tcPr>
          <w:p w14:paraId="537E212F">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26" w:type="dxa"/>
            <w:vAlign w:val="center"/>
          </w:tcPr>
          <w:p w14:paraId="2AE43F48">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34" w:type="dxa"/>
            <w:vAlign w:val="center"/>
          </w:tcPr>
          <w:p w14:paraId="203702F5">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r>
      <w:tr w14:paraId="19FC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Merge w:val="continue"/>
            <w:vAlign w:val="center"/>
          </w:tcPr>
          <w:p w14:paraId="65C4D8CE">
            <w:pPr>
              <w:ind w:firstLine="420"/>
              <w:jc w:val="center"/>
              <w:rPr>
                <w:rFonts w:hint="default" w:ascii="Times New Roman" w:hAnsi="Times New Roman" w:eastAsia="宋体" w:cs="Times New Roman"/>
                <w:sz w:val="18"/>
                <w:szCs w:val="18"/>
              </w:rPr>
            </w:pPr>
          </w:p>
        </w:tc>
        <w:tc>
          <w:tcPr>
            <w:tcW w:w="773" w:type="dxa"/>
            <w:vAlign w:val="center"/>
          </w:tcPr>
          <w:p w14:paraId="32879249">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984" w:type="dxa"/>
            <w:vAlign w:val="center"/>
          </w:tcPr>
          <w:p w14:paraId="09A906FF">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985" w:type="dxa"/>
            <w:vAlign w:val="center"/>
          </w:tcPr>
          <w:p w14:paraId="11A6C7DA">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393" w:type="dxa"/>
            <w:vMerge w:val="continue"/>
            <w:vAlign w:val="center"/>
          </w:tcPr>
          <w:p w14:paraId="6B756D07">
            <w:pPr>
              <w:ind w:firstLine="420"/>
              <w:jc w:val="center"/>
              <w:rPr>
                <w:rFonts w:hint="default" w:ascii="Times New Roman" w:hAnsi="Times New Roman" w:eastAsia="宋体" w:cs="Times New Roman"/>
                <w:sz w:val="18"/>
                <w:szCs w:val="18"/>
              </w:rPr>
            </w:pPr>
          </w:p>
        </w:tc>
        <w:tc>
          <w:tcPr>
            <w:tcW w:w="883" w:type="dxa"/>
            <w:vAlign w:val="center"/>
          </w:tcPr>
          <w:p w14:paraId="0747D76D">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26" w:type="dxa"/>
            <w:vAlign w:val="center"/>
          </w:tcPr>
          <w:p w14:paraId="51FA8A5F">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34" w:type="dxa"/>
            <w:vAlign w:val="center"/>
          </w:tcPr>
          <w:p w14:paraId="646460A7">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r>
      <w:tr w14:paraId="67FC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Align w:val="center"/>
          </w:tcPr>
          <w:p w14:paraId="23CF56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子样平均值</w:t>
            </w:r>
          </w:p>
        </w:tc>
        <w:tc>
          <w:tcPr>
            <w:tcW w:w="773" w:type="dxa"/>
            <w:vAlign w:val="center"/>
          </w:tcPr>
          <w:p w14:paraId="7FE90A34">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a1</w:t>
            </w:r>
          </w:p>
        </w:tc>
        <w:tc>
          <w:tcPr>
            <w:tcW w:w="984" w:type="dxa"/>
            <w:vAlign w:val="center"/>
          </w:tcPr>
          <w:p w14:paraId="265FCDEF">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a2</w:t>
            </w:r>
          </w:p>
        </w:tc>
        <w:tc>
          <w:tcPr>
            <w:tcW w:w="985" w:type="dxa"/>
            <w:vAlign w:val="center"/>
          </w:tcPr>
          <w:p w14:paraId="20A067EB">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a3</w:t>
            </w:r>
          </w:p>
        </w:tc>
        <w:tc>
          <w:tcPr>
            <w:tcW w:w="1393" w:type="dxa"/>
            <w:vAlign w:val="center"/>
          </w:tcPr>
          <w:p w14:paraId="3F28D4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子样平均值</w:t>
            </w:r>
          </w:p>
        </w:tc>
        <w:tc>
          <w:tcPr>
            <w:tcW w:w="883" w:type="dxa"/>
            <w:vAlign w:val="center"/>
          </w:tcPr>
          <w:p w14:paraId="16DCE8DC">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b1</w:t>
            </w:r>
          </w:p>
        </w:tc>
        <w:tc>
          <w:tcPr>
            <w:tcW w:w="1026" w:type="dxa"/>
            <w:vAlign w:val="center"/>
          </w:tcPr>
          <w:p w14:paraId="776DD498">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b2</w:t>
            </w:r>
          </w:p>
        </w:tc>
        <w:tc>
          <w:tcPr>
            <w:tcW w:w="1034" w:type="dxa"/>
            <w:vAlign w:val="center"/>
          </w:tcPr>
          <w:p w14:paraId="21F65334">
            <w:pPr>
              <w:wordWrap w:val="0"/>
              <w:overflowPunct w:val="0"/>
              <w:autoSpaceDE w:val="0"/>
              <w:autoSpaceDN w:val="0"/>
              <w:jc w:val="center"/>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b3</w:t>
            </w:r>
          </w:p>
        </w:tc>
      </w:tr>
      <w:tr w14:paraId="5E10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6" w:type="dxa"/>
            <w:gridSpan w:val="8"/>
            <w:vAlign w:val="center"/>
          </w:tcPr>
          <w:p w14:paraId="132A26CA">
            <w:pPr>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最终转基因含量=(a1/b1+a2/b2+a3/b3)÷3</w:t>
            </w:r>
          </w:p>
        </w:tc>
      </w:tr>
      <w:tr w14:paraId="3395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496" w:type="dxa"/>
            <w:gridSpan w:val="8"/>
            <w:vAlign w:val="center"/>
          </w:tcPr>
          <w:p w14:paraId="03627C0D">
            <w:pPr>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注：（1）cijkl 为第i实验室（p个实验室，i=1,2,...,p）、第j个水平（q个水平，j=1,2,...,q）、第k个平行子样（每个水平m个平行子样，k=1,2,...,m）、第l个PCR重复（每个子样n个PCR重复， l=1,2,...,n）的检测数据。</w:t>
            </w:r>
          </w:p>
          <w:p w14:paraId="1EFB409C">
            <w:pPr>
              <w:wordWrap w:val="0"/>
              <w:overflowPunct w:val="0"/>
              <w:autoSpaceDE w:val="0"/>
              <w:autoSpaceDN w:val="0"/>
              <w:textAlignment w:val="baseline"/>
              <w:outlineLvl w:val="2"/>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转化体和内标准基因的校准品（每个水平1个样品，3次PCR重复）+质控品（每类1个样品，3次PCR重复）；每个水平试样设3个平行子样，每个子样重复3次PCR，并与校准品和质控品在1个PCR板上进行内标准基因和转化体特异性序列的扩增。</w:t>
            </w:r>
          </w:p>
        </w:tc>
      </w:tr>
    </w:tbl>
    <w:p w14:paraId="3BB48A3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p>
    <w:p w14:paraId="3250B4D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制标单位从8个实验室收集验证检测数据，核对后进行统计分析。</w:t>
      </w:r>
    </w:p>
    <w:p w14:paraId="51EE745C">
      <w:pPr>
        <w:pStyle w:val="5"/>
        <w:bidi w:val="0"/>
        <w:spacing w:before="50" w:beforeLines="50" w:after="50" w:afterLines="50" w:line="240" w:lineRule="auto"/>
        <w:ind w:firstLine="420" w:firstLineChars="200"/>
        <w:rPr>
          <w:rFonts w:ascii="Times New Roman" w:hAnsi="Times New Roman" w:eastAsia="黑体" w:cs="Calibri"/>
          <w:b w:val="0"/>
        </w:rPr>
      </w:pPr>
      <w:r>
        <w:rPr>
          <w:rFonts w:hint="eastAsia" w:ascii="Times New Roman" w:hAnsi="Times New Roman" w:eastAsia="黑体" w:cs="Calibri"/>
          <w:b w:val="0"/>
          <w:lang w:val="en-US" w:eastAsia="zh-CN"/>
        </w:rPr>
        <w:t xml:space="preserve">2.1 </w:t>
      </w:r>
      <w:r>
        <w:rPr>
          <w:rFonts w:ascii="Times New Roman" w:hAnsi="Times New Roman" w:eastAsia="黑体" w:cs="Calibri"/>
          <w:b w:val="0"/>
        </w:rPr>
        <w:t>标准曲线分析与合格判定</w:t>
      </w:r>
    </w:p>
    <w:p w14:paraId="25E9FBC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每个实验室用5个水平校准品绘制标准曲线，根据PCR板的数量收集相关标准曲线数据。</w:t>
      </w:r>
    </w:p>
    <w:p w14:paraId="49F64696">
      <w:pPr>
        <w:pStyle w:val="5"/>
        <w:bidi w:val="0"/>
        <w:spacing w:before="50" w:beforeLines="50" w:after="50" w:afterLines="50" w:line="240" w:lineRule="auto"/>
        <w:ind w:firstLine="420" w:firstLineChars="200"/>
        <w:rPr>
          <w:rFonts w:hint="eastAsia" w:ascii="Times New Roman" w:hAnsi="Times New Roman" w:eastAsia="黑体" w:cs="Calibri"/>
          <w:b w:val="0"/>
          <w:lang w:val="en-US" w:eastAsia="zh-CN"/>
        </w:rPr>
      </w:pPr>
      <w:r>
        <w:rPr>
          <w:rFonts w:hint="eastAsia" w:ascii="Times New Roman" w:hAnsi="Times New Roman" w:eastAsia="黑体" w:cs="Calibri"/>
          <w:b w:val="0"/>
          <w:lang w:val="en-US" w:eastAsia="zh-CN"/>
        </w:rPr>
        <w:t>2.1.1 标准曲线各参数（斜率、决定系数和PCR扩增效率）合格判定标准</w:t>
      </w:r>
    </w:p>
    <w:p w14:paraId="3926581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根据2259号公告</w:t>
      </w:r>
      <w:r>
        <w:rPr>
          <w:rFonts w:hint="eastAsia" w:ascii="Times New Roman" w:hAnsi="Times New Roman" w:cs="Calibri"/>
          <w:szCs w:val="22"/>
          <w:lang w:val="en-US" w:eastAsia="zh-CN"/>
        </w:rPr>
        <w:t>-</w:t>
      </w:r>
      <w:r>
        <w:rPr>
          <w:rFonts w:ascii="Times New Roman" w:hAnsi="Times New Roman" w:cs="Calibri"/>
          <w:szCs w:val="22"/>
        </w:rPr>
        <w:t>5</w:t>
      </w:r>
      <w:r>
        <w:rPr>
          <w:rFonts w:hint="eastAsia" w:ascii="Times New Roman" w:hAnsi="Times New Roman" w:cs="Calibri"/>
          <w:szCs w:val="22"/>
          <w:lang w:val="en-US" w:eastAsia="zh-CN"/>
        </w:rPr>
        <w:t>-</w:t>
      </w:r>
      <w:r>
        <w:rPr>
          <w:rFonts w:ascii="Times New Roman" w:hAnsi="Times New Roman" w:cs="Calibri"/>
          <w:szCs w:val="22"/>
        </w:rPr>
        <w:t>2015的要求，转化体和内标基因的标准曲线合格标准为：斜率b值均应位于-3.6～-3.1区间内；决定系数R</w:t>
      </w:r>
      <w:r>
        <w:rPr>
          <w:rFonts w:ascii="Times New Roman" w:hAnsi="Times New Roman" w:cs="Calibri"/>
          <w:szCs w:val="22"/>
          <w:vertAlign w:val="superscript"/>
        </w:rPr>
        <w:t>2</w:t>
      </w:r>
      <w:r>
        <w:rPr>
          <w:rFonts w:ascii="Times New Roman" w:hAnsi="Times New Roman" w:cs="Calibri"/>
          <w:szCs w:val="22"/>
        </w:rPr>
        <w:t>可接受的最低值0.98；PCR扩增效率E应位于90%～110%的区间内。</w:t>
      </w:r>
    </w:p>
    <w:p w14:paraId="57D5DF53">
      <w:pPr>
        <w:pStyle w:val="5"/>
        <w:bidi w:val="0"/>
        <w:spacing w:before="50" w:beforeLines="50" w:after="50" w:afterLines="50" w:line="240" w:lineRule="auto"/>
        <w:ind w:firstLine="420" w:firstLineChars="200"/>
        <w:rPr>
          <w:rFonts w:hint="eastAsia" w:ascii="Times New Roman" w:hAnsi="Times New Roman" w:eastAsia="黑体" w:cs="Calibri"/>
          <w:b w:val="0"/>
          <w:lang w:val="en-US" w:eastAsia="zh-CN"/>
        </w:rPr>
      </w:pPr>
      <w:r>
        <w:rPr>
          <w:rFonts w:hint="eastAsia" w:ascii="Times New Roman" w:hAnsi="Times New Roman" w:eastAsia="黑体" w:cs="Calibri"/>
          <w:b w:val="0"/>
          <w:lang w:val="en-US" w:eastAsia="zh-CN"/>
        </w:rPr>
        <w:t>2.1.2 各实验室标准曲线各参数计算</w:t>
      </w:r>
    </w:p>
    <w:p w14:paraId="7C2591D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szCs w:val="22"/>
          <w:highlight w:val="yellow"/>
        </w:rPr>
      </w:pPr>
      <w:r>
        <w:rPr>
          <w:rFonts w:hint="default" w:ascii="Times New Roman" w:hAnsi="Times New Roman" w:cs="Times New Roman"/>
          <w:szCs w:val="22"/>
          <w:highlight w:val="none"/>
        </w:rPr>
        <w:t>参照本文</w:t>
      </w:r>
      <w:r>
        <w:rPr>
          <w:rFonts w:hint="default" w:ascii="Times New Roman" w:hAnsi="Times New Roman" w:cs="Times New Roman"/>
          <w:szCs w:val="22"/>
          <w:highlight w:val="none"/>
          <w:lang w:eastAsia="zh-CN"/>
        </w:rPr>
        <w:t>“</w:t>
      </w:r>
      <w:r>
        <w:rPr>
          <w:rFonts w:hint="default" w:ascii="Times New Roman" w:hAnsi="Times New Roman" w:cs="Times New Roman"/>
          <w:szCs w:val="22"/>
          <w:highlight w:val="none"/>
        </w:rPr>
        <w:t>标准曲线各参数的计算方法</w:t>
      </w:r>
      <w:r>
        <w:rPr>
          <w:rFonts w:hint="default" w:ascii="Times New Roman" w:hAnsi="Times New Roman" w:cs="Times New Roman"/>
          <w:szCs w:val="22"/>
          <w:highlight w:val="none"/>
          <w:lang w:eastAsia="zh-CN"/>
        </w:rPr>
        <w:t>”</w:t>
      </w:r>
      <w:r>
        <w:rPr>
          <w:rFonts w:hint="default" w:ascii="Times New Roman" w:hAnsi="Times New Roman" w:cs="Times New Roman"/>
          <w:szCs w:val="22"/>
          <w:highlight w:val="none"/>
        </w:rPr>
        <w:t>进行计算。</w:t>
      </w:r>
    </w:p>
    <w:p w14:paraId="03628C82">
      <w:pPr>
        <w:pStyle w:val="5"/>
        <w:bidi w:val="0"/>
        <w:spacing w:before="50" w:beforeLines="50" w:after="50" w:afterLines="50" w:line="240" w:lineRule="auto"/>
        <w:ind w:firstLine="420" w:firstLineChars="200"/>
        <w:rPr>
          <w:rFonts w:hint="eastAsia" w:ascii="Times New Roman" w:hAnsi="Times New Roman" w:eastAsia="黑体" w:cs="Calibri"/>
          <w:b w:val="0"/>
          <w:lang w:val="en-US" w:eastAsia="zh-CN"/>
        </w:rPr>
      </w:pPr>
      <w:r>
        <w:rPr>
          <w:rFonts w:hint="eastAsia" w:ascii="Times New Roman" w:hAnsi="Times New Roman" w:eastAsia="黑体" w:cs="Calibri"/>
          <w:b w:val="0"/>
          <w:lang w:val="en-US" w:eastAsia="zh-CN"/>
        </w:rPr>
        <w:t>2.1.3 实验室标准曲线各参数统计结果</w:t>
      </w:r>
    </w:p>
    <w:p w14:paraId="2071438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将8个实验室的标准曲线各参数分别进行统计，汇总结果详见表</w:t>
      </w:r>
      <w:r>
        <w:rPr>
          <w:rFonts w:hint="eastAsia" w:cs="Calibri"/>
          <w:szCs w:val="22"/>
          <w:lang w:val="en-US" w:eastAsia="zh-CN"/>
        </w:rPr>
        <w:t>3</w:t>
      </w:r>
      <w:r>
        <w:rPr>
          <w:rFonts w:ascii="Times New Roman" w:hAnsi="Times New Roman" w:cs="Calibri"/>
          <w:szCs w:val="22"/>
        </w:rPr>
        <w:t>-4。</w:t>
      </w:r>
    </w:p>
    <w:p w14:paraId="7CB79DFC">
      <w:pPr>
        <w:pStyle w:val="8"/>
        <w:keepNext/>
        <w:bidi w:val="0"/>
        <w:spacing w:line="240" w:lineRule="auto"/>
        <w:ind w:firstLine="0" w:firstLineChars="0"/>
        <w:jc w:val="center"/>
        <w:rPr>
          <w:rFonts w:ascii="Times New Roman" w:hAnsi="Times New Roman" w:eastAsia="黑体" w:cs="Calibri"/>
          <w:sz w:val="18"/>
          <w:szCs w:val="22"/>
          <w:lang w:val="en-US" w:eastAsia="zh-CN"/>
        </w:rPr>
      </w:pPr>
      <w:r>
        <w:rPr>
          <w:rFonts w:ascii="Times New Roman" w:hAnsi="Times New Roman" w:eastAsia="黑体" w:cs="Calibri"/>
          <w:sz w:val="18"/>
          <w:szCs w:val="22"/>
          <w:lang w:val="en-US" w:eastAsia="zh-CN"/>
        </w:rPr>
        <w:t>表</w:t>
      </w:r>
      <w:r>
        <w:rPr>
          <w:rFonts w:hint="eastAsia" w:ascii="Times New Roman" w:hAnsi="Times New Roman" w:eastAsia="黑体" w:cs="Calibri"/>
          <w:sz w:val="18"/>
          <w:szCs w:val="22"/>
          <w:lang w:val="en-US" w:eastAsia="zh-CN"/>
        </w:rPr>
        <w:t>3</w:t>
      </w:r>
      <w:r>
        <w:rPr>
          <w:rFonts w:ascii="Times New Roman" w:hAnsi="Times New Roman" w:eastAsia="黑体" w:cs="Calibri"/>
          <w:sz w:val="18"/>
          <w:szCs w:val="22"/>
          <w:lang w:val="en-US" w:eastAsia="zh-CN"/>
        </w:rPr>
        <w:t>-4 各实验室实时荧光PCR方法标准曲线参数汇总结果</w:t>
      </w:r>
    </w:p>
    <w:tbl>
      <w:tblPr>
        <w:tblStyle w:val="16"/>
        <w:tblW w:w="7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70"/>
        <w:gridCol w:w="973"/>
        <w:gridCol w:w="966"/>
        <w:gridCol w:w="1061"/>
        <w:gridCol w:w="974"/>
        <w:gridCol w:w="975"/>
        <w:gridCol w:w="1030"/>
      </w:tblGrid>
      <w:tr w14:paraId="204B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379E0C8B">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实验室</w:t>
            </w:r>
          </w:p>
        </w:tc>
        <w:tc>
          <w:tcPr>
            <w:tcW w:w="870" w:type="dxa"/>
            <w:vMerge w:val="restart"/>
            <w:tcBorders>
              <w:top w:val="single" w:color="auto" w:sz="4" w:space="0"/>
              <w:left w:val="single" w:color="auto" w:sz="4" w:space="0"/>
              <w:bottom w:val="single" w:color="auto" w:sz="4" w:space="0"/>
              <w:right w:val="single" w:color="auto" w:sz="4" w:space="0"/>
            </w:tcBorders>
            <w:vAlign w:val="center"/>
          </w:tcPr>
          <w:p w14:paraId="64683A3A">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PCR板序号</w:t>
            </w:r>
          </w:p>
        </w:tc>
        <w:tc>
          <w:tcPr>
            <w:tcW w:w="3000" w:type="dxa"/>
            <w:gridSpan w:val="3"/>
            <w:tcBorders>
              <w:top w:val="single" w:color="auto" w:sz="4" w:space="0"/>
              <w:left w:val="single" w:color="auto" w:sz="4" w:space="0"/>
              <w:bottom w:val="single" w:color="auto" w:sz="4" w:space="0"/>
              <w:right w:val="single" w:color="auto" w:sz="4" w:space="0"/>
            </w:tcBorders>
            <w:vAlign w:val="center"/>
          </w:tcPr>
          <w:p w14:paraId="76E290CF">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zSSIIb</w:t>
            </w:r>
            <w:r>
              <w:rPr>
                <w:rFonts w:hint="default" w:ascii="Times New Roman" w:hAnsi="Times New Roman" w:eastAsia="宋体" w:cs="Times New Roman"/>
                <w:b/>
                <w:sz w:val="18"/>
                <w:szCs w:val="18"/>
              </w:rPr>
              <w:t>基因</w:t>
            </w:r>
          </w:p>
        </w:tc>
        <w:tc>
          <w:tcPr>
            <w:tcW w:w="2979" w:type="dxa"/>
            <w:gridSpan w:val="3"/>
            <w:tcBorders>
              <w:top w:val="single" w:color="auto" w:sz="4" w:space="0"/>
              <w:left w:val="single" w:color="auto" w:sz="4" w:space="0"/>
              <w:bottom w:val="single" w:color="auto" w:sz="4" w:space="0"/>
              <w:right w:val="single" w:color="auto" w:sz="4" w:space="0"/>
            </w:tcBorders>
            <w:vAlign w:val="center"/>
          </w:tcPr>
          <w:p w14:paraId="52DBE276">
            <w:pPr>
              <w:jc w:val="center"/>
              <w:rPr>
                <w:rFonts w:hint="default" w:ascii="Times New Roman" w:hAnsi="Times New Roman" w:eastAsia="宋体" w:cs="Times New Roman"/>
                <w:b/>
                <w:sz w:val="18"/>
                <w:szCs w:val="18"/>
              </w:rPr>
            </w:pPr>
            <w:r>
              <w:rPr>
                <w:rFonts w:hint="eastAsia" w:cs="Times New Roman"/>
                <w:b/>
                <w:sz w:val="18"/>
                <w:szCs w:val="18"/>
                <w:lang w:eastAsia="zh-CN"/>
              </w:rPr>
              <w:t>QY2569-42</w:t>
            </w:r>
            <w:r>
              <w:rPr>
                <w:rFonts w:hint="default" w:ascii="Times New Roman" w:hAnsi="Times New Roman" w:eastAsia="宋体" w:cs="Times New Roman"/>
                <w:b/>
                <w:sz w:val="18"/>
                <w:szCs w:val="18"/>
              </w:rPr>
              <w:t>转化体</w:t>
            </w:r>
          </w:p>
        </w:tc>
      </w:tr>
      <w:tr w14:paraId="552B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48ACEF6">
            <w:pPr>
              <w:widowControl/>
              <w:jc w:val="left"/>
              <w:rPr>
                <w:rFonts w:hint="default" w:ascii="Times New Roman" w:hAnsi="Times New Roman" w:eastAsia="宋体" w:cs="Times New Roman"/>
                <w:b/>
                <w:sz w:val="18"/>
                <w:szCs w:val="18"/>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14:paraId="371B70C1">
            <w:pPr>
              <w:widowControl/>
              <w:jc w:val="left"/>
              <w:rPr>
                <w:rFonts w:hint="default" w:ascii="Times New Roman" w:hAnsi="Times New Roman" w:eastAsia="宋体" w:cs="Times New Roman"/>
                <w:b/>
                <w:sz w:val="18"/>
                <w:szCs w:val="18"/>
              </w:rPr>
            </w:pPr>
          </w:p>
        </w:tc>
        <w:tc>
          <w:tcPr>
            <w:tcW w:w="973" w:type="dxa"/>
            <w:tcBorders>
              <w:top w:val="single" w:color="auto" w:sz="4" w:space="0"/>
              <w:left w:val="single" w:color="auto" w:sz="4" w:space="0"/>
              <w:bottom w:val="single" w:color="auto" w:sz="4" w:space="0"/>
              <w:right w:val="single" w:color="auto" w:sz="4" w:space="0"/>
            </w:tcBorders>
            <w:vAlign w:val="center"/>
          </w:tcPr>
          <w:p w14:paraId="700BA04B">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曲线斜率</w:t>
            </w:r>
          </w:p>
          <w:p w14:paraId="1CED13F0">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b</w:t>
            </w:r>
          </w:p>
        </w:tc>
        <w:tc>
          <w:tcPr>
            <w:tcW w:w="966" w:type="dxa"/>
            <w:tcBorders>
              <w:top w:val="single" w:color="auto" w:sz="4" w:space="0"/>
              <w:left w:val="single" w:color="auto" w:sz="4" w:space="0"/>
              <w:bottom w:val="single" w:color="auto" w:sz="4" w:space="0"/>
              <w:right w:val="single" w:color="auto" w:sz="4" w:space="0"/>
            </w:tcBorders>
            <w:vAlign w:val="center"/>
          </w:tcPr>
          <w:p w14:paraId="47197473">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决定系数</w:t>
            </w:r>
          </w:p>
          <w:p w14:paraId="2C4A158F">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R</w:t>
            </w:r>
            <w:r>
              <w:rPr>
                <w:rFonts w:hint="default" w:ascii="Times New Roman" w:hAnsi="Times New Roman" w:eastAsia="宋体" w:cs="Times New Roman"/>
                <w:b/>
                <w:sz w:val="18"/>
                <w:szCs w:val="18"/>
                <w:vertAlign w:val="superscript"/>
              </w:rPr>
              <w:t>2</w:t>
            </w:r>
          </w:p>
        </w:tc>
        <w:tc>
          <w:tcPr>
            <w:tcW w:w="1061" w:type="dxa"/>
            <w:tcBorders>
              <w:top w:val="single" w:color="auto" w:sz="4" w:space="0"/>
              <w:left w:val="single" w:color="auto" w:sz="4" w:space="0"/>
              <w:bottom w:val="single" w:color="auto" w:sz="4" w:space="0"/>
              <w:right w:val="single" w:color="auto" w:sz="4" w:space="0"/>
            </w:tcBorders>
            <w:vAlign w:val="center"/>
          </w:tcPr>
          <w:p w14:paraId="663B9E41">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扩增效率</w:t>
            </w:r>
          </w:p>
          <w:p w14:paraId="7B29B860">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E</w:t>
            </w:r>
            <w:r>
              <w:rPr>
                <w:rFonts w:hint="default" w:ascii="Times New Roman" w:hAnsi="Times New Roman" w:eastAsia="宋体" w:cs="Times New Roman"/>
                <w:b/>
                <w:sz w:val="18"/>
                <w:szCs w:val="18"/>
              </w:rPr>
              <w:t>（%）</w:t>
            </w:r>
          </w:p>
        </w:tc>
        <w:tc>
          <w:tcPr>
            <w:tcW w:w="974" w:type="dxa"/>
            <w:tcBorders>
              <w:top w:val="single" w:color="auto" w:sz="4" w:space="0"/>
              <w:left w:val="single" w:color="auto" w:sz="4" w:space="0"/>
              <w:bottom w:val="single" w:color="auto" w:sz="4" w:space="0"/>
              <w:right w:val="single" w:color="auto" w:sz="4" w:space="0"/>
            </w:tcBorders>
            <w:vAlign w:val="center"/>
          </w:tcPr>
          <w:p w14:paraId="33AFF557">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曲线斜率</w:t>
            </w:r>
          </w:p>
          <w:p w14:paraId="788D921B">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b</w:t>
            </w:r>
          </w:p>
        </w:tc>
        <w:tc>
          <w:tcPr>
            <w:tcW w:w="975" w:type="dxa"/>
            <w:tcBorders>
              <w:top w:val="single" w:color="auto" w:sz="4" w:space="0"/>
              <w:left w:val="single" w:color="auto" w:sz="4" w:space="0"/>
              <w:bottom w:val="single" w:color="auto" w:sz="4" w:space="0"/>
              <w:right w:val="single" w:color="auto" w:sz="4" w:space="0"/>
            </w:tcBorders>
            <w:vAlign w:val="center"/>
          </w:tcPr>
          <w:p w14:paraId="5847390B">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决定系数</w:t>
            </w:r>
          </w:p>
          <w:p w14:paraId="679F00AC">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R</w:t>
            </w:r>
            <w:r>
              <w:rPr>
                <w:rFonts w:hint="default" w:ascii="Times New Roman" w:hAnsi="Times New Roman" w:eastAsia="宋体" w:cs="Times New Roman"/>
                <w:b/>
                <w:sz w:val="18"/>
                <w:szCs w:val="18"/>
                <w:vertAlign w:val="superscript"/>
              </w:rPr>
              <w:t>2</w:t>
            </w:r>
          </w:p>
        </w:tc>
        <w:tc>
          <w:tcPr>
            <w:tcW w:w="1030" w:type="dxa"/>
            <w:tcBorders>
              <w:top w:val="single" w:color="auto" w:sz="4" w:space="0"/>
              <w:left w:val="single" w:color="auto" w:sz="4" w:space="0"/>
              <w:bottom w:val="single" w:color="auto" w:sz="4" w:space="0"/>
              <w:right w:val="single" w:color="auto" w:sz="4" w:space="0"/>
            </w:tcBorders>
            <w:vAlign w:val="center"/>
          </w:tcPr>
          <w:p w14:paraId="2176C9A0">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扩增效率</w:t>
            </w:r>
          </w:p>
          <w:p w14:paraId="4C820036">
            <w:pPr>
              <w:jc w:val="center"/>
              <w:rPr>
                <w:rFonts w:hint="default" w:ascii="Times New Roman" w:hAnsi="Times New Roman" w:eastAsia="宋体" w:cs="Times New Roman"/>
                <w:b/>
                <w:sz w:val="18"/>
                <w:szCs w:val="18"/>
              </w:rPr>
            </w:pPr>
            <w:r>
              <w:rPr>
                <w:rFonts w:hint="default" w:ascii="Times New Roman" w:hAnsi="Times New Roman" w:eastAsia="宋体" w:cs="Times New Roman"/>
                <w:b/>
                <w:i/>
                <w:iCs/>
                <w:sz w:val="18"/>
                <w:szCs w:val="18"/>
              </w:rPr>
              <w:t>E</w:t>
            </w:r>
            <w:r>
              <w:rPr>
                <w:rFonts w:hint="default" w:ascii="Times New Roman" w:hAnsi="Times New Roman" w:eastAsia="宋体" w:cs="Times New Roman"/>
                <w:b/>
                <w:sz w:val="18"/>
                <w:szCs w:val="18"/>
              </w:rPr>
              <w:t>（%）</w:t>
            </w:r>
          </w:p>
        </w:tc>
      </w:tr>
      <w:tr w14:paraId="203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030FCC72">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1</w:t>
            </w:r>
          </w:p>
        </w:tc>
        <w:tc>
          <w:tcPr>
            <w:tcW w:w="870" w:type="dxa"/>
            <w:tcBorders>
              <w:top w:val="single" w:color="auto" w:sz="4" w:space="0"/>
              <w:left w:val="single" w:color="auto" w:sz="4" w:space="0"/>
              <w:bottom w:val="single" w:color="auto" w:sz="4" w:space="0"/>
              <w:right w:val="single" w:color="auto" w:sz="4" w:space="0"/>
            </w:tcBorders>
            <w:vAlign w:val="center"/>
          </w:tcPr>
          <w:p w14:paraId="787D934E">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6EA642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-3.327</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9B939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78064CF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99.800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01CA97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-3.402</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0FC93F7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089F4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96.800</w:t>
            </w:r>
          </w:p>
        </w:tc>
      </w:tr>
      <w:tr w14:paraId="5305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B410ED0">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63A9C4FB">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3E258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-3.255</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7AB6936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79BE81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102.900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4164C72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-3.250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743963A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8924F8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103.100</w:t>
            </w:r>
          </w:p>
        </w:tc>
      </w:tr>
      <w:tr w14:paraId="35E0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EB20E0F">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2AA511A1">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1C7995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-3.220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95354B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6F7426B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104.400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05765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-3.239</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4BA7E2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5C708B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103.600</w:t>
            </w:r>
          </w:p>
        </w:tc>
      </w:tr>
      <w:tr w14:paraId="3B56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15DE85D0">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2</w:t>
            </w:r>
          </w:p>
        </w:tc>
        <w:tc>
          <w:tcPr>
            <w:tcW w:w="870" w:type="dxa"/>
            <w:tcBorders>
              <w:top w:val="single" w:color="auto" w:sz="4" w:space="0"/>
              <w:left w:val="single" w:color="auto" w:sz="4" w:space="0"/>
              <w:bottom w:val="single" w:color="auto" w:sz="4" w:space="0"/>
              <w:right w:val="single" w:color="auto" w:sz="4" w:space="0"/>
            </w:tcBorders>
            <w:vAlign w:val="center"/>
          </w:tcPr>
          <w:p w14:paraId="3167DFFD">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6FF14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-3.200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6270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0.982</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630C953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105.480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4E00838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-3.560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C37BBA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0.986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BE5774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91.000</w:t>
            </w:r>
          </w:p>
        </w:tc>
      </w:tr>
      <w:tr w14:paraId="18F2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7F5941E">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0CA8821B">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7E0B911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-3.180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361985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0.983</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7013757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106.400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F0D45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-3.400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7CF21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78D77F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96.660</w:t>
            </w:r>
          </w:p>
        </w:tc>
      </w:tr>
      <w:tr w14:paraId="5E39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BDAC59C">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447A5032">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78233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-3.290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99E59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0.983</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13CADC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101.440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74E327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-3.360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36A98D3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0BFB2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98.250</w:t>
            </w:r>
          </w:p>
        </w:tc>
      </w:tr>
      <w:tr w14:paraId="01AB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1449D851">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3</w:t>
            </w:r>
          </w:p>
        </w:tc>
        <w:tc>
          <w:tcPr>
            <w:tcW w:w="870" w:type="dxa"/>
            <w:tcBorders>
              <w:top w:val="single" w:color="auto" w:sz="4" w:space="0"/>
              <w:left w:val="single" w:color="auto" w:sz="4" w:space="0"/>
              <w:bottom w:val="single" w:color="auto" w:sz="4" w:space="0"/>
              <w:right w:val="single" w:color="auto" w:sz="4" w:space="0"/>
            </w:tcBorders>
            <w:vAlign w:val="center"/>
          </w:tcPr>
          <w:p w14:paraId="1A0DCBD7">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0196D3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-3.440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261A45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38B91F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95.317</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B71239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-3.316</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063BF9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7A673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100.256</w:t>
            </w:r>
          </w:p>
        </w:tc>
      </w:tr>
      <w:tr w14:paraId="7B8E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5717181">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22897C68">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A830F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-3.468</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F22CC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0.996</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4A9FB7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94.238</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14AE31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-3.232</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76EC7D2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31C4F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103.895</w:t>
            </w:r>
          </w:p>
        </w:tc>
      </w:tr>
      <w:tr w14:paraId="576E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4CFDD4F">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3DF2D94D">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75DD80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-3.497</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622057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0A71EF9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93.179</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3701D4B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-3.271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38E813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A5EEC4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102.179</w:t>
            </w:r>
          </w:p>
        </w:tc>
      </w:tr>
      <w:tr w14:paraId="30C6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7775C3AF">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4</w:t>
            </w:r>
          </w:p>
        </w:tc>
        <w:tc>
          <w:tcPr>
            <w:tcW w:w="870" w:type="dxa"/>
            <w:tcBorders>
              <w:top w:val="single" w:color="auto" w:sz="4" w:space="0"/>
              <w:left w:val="single" w:color="auto" w:sz="4" w:space="0"/>
              <w:bottom w:val="single" w:color="auto" w:sz="4" w:space="0"/>
              <w:right w:val="single" w:color="auto" w:sz="4" w:space="0"/>
            </w:tcBorders>
            <w:vAlign w:val="center"/>
          </w:tcPr>
          <w:p w14:paraId="0A7D7068">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7220779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-3.336</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30FC60B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048191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99.000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441F3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-3.443</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13B4D3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5DEED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95.000</w:t>
            </w:r>
          </w:p>
        </w:tc>
      </w:tr>
      <w:tr w14:paraId="17CE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34990C3">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5335CFBF">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27924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-3.347</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35080C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3D23EE0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99.000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B54C5F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-3.421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FC928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4A1F3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96.000</w:t>
            </w:r>
          </w:p>
        </w:tc>
      </w:tr>
      <w:tr w14:paraId="4B19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9A3D074">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5CA7FAC9">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0B104D5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-3.354</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3DB9BD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6331779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99.000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4265D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-3.390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89DF1F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2A3572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97.000</w:t>
            </w:r>
          </w:p>
        </w:tc>
      </w:tr>
      <w:tr w14:paraId="10CB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4A034819">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5</w:t>
            </w:r>
          </w:p>
        </w:tc>
        <w:tc>
          <w:tcPr>
            <w:tcW w:w="870" w:type="dxa"/>
            <w:tcBorders>
              <w:top w:val="single" w:color="auto" w:sz="4" w:space="0"/>
              <w:left w:val="single" w:color="auto" w:sz="4" w:space="0"/>
              <w:bottom w:val="single" w:color="auto" w:sz="4" w:space="0"/>
              <w:right w:val="single" w:color="auto" w:sz="4" w:space="0"/>
            </w:tcBorders>
            <w:vAlign w:val="center"/>
          </w:tcPr>
          <w:p w14:paraId="15521B60">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1B7790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-3.139</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30A2EED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7E1FF3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108.225</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1ABA7A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-3.221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5DC7351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69B1D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104.375</w:t>
            </w:r>
          </w:p>
        </w:tc>
      </w:tr>
      <w:tr w14:paraId="1A9B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9CF8554">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4D1DE7AF">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7D5CB48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-3.277</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749F24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0.994</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6C4F10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101.895</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246D9B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-3.279</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81F325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A96EEF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101.806</w:t>
            </w:r>
          </w:p>
        </w:tc>
      </w:tr>
      <w:tr w14:paraId="52DF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E214690">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62724547">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6525C89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-3.150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635F95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5DBDD83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107.734</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42F896E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-3.353</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179E56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35539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98.703</w:t>
            </w:r>
          </w:p>
        </w:tc>
      </w:tr>
      <w:tr w14:paraId="0D3E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5D4944A4">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6</w:t>
            </w:r>
          </w:p>
        </w:tc>
        <w:tc>
          <w:tcPr>
            <w:tcW w:w="870" w:type="dxa"/>
            <w:tcBorders>
              <w:top w:val="single" w:color="auto" w:sz="4" w:space="0"/>
              <w:left w:val="single" w:color="auto" w:sz="4" w:space="0"/>
              <w:bottom w:val="single" w:color="auto" w:sz="4" w:space="0"/>
              <w:right w:val="single" w:color="auto" w:sz="4" w:space="0"/>
            </w:tcBorders>
            <w:vAlign w:val="center"/>
          </w:tcPr>
          <w:p w14:paraId="39657FBB">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7FFABCA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-3.285</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F200F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0.997</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445398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101.600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1F6CF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-3.311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041D5C3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8882A4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100.500</w:t>
            </w:r>
          </w:p>
        </w:tc>
      </w:tr>
      <w:tr w14:paraId="7225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3B495F3">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6494E99E">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E59D6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-3.216</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390527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1BFC9AC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104.600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91B84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-3.419</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0D150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98E090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96.100</w:t>
            </w:r>
          </w:p>
        </w:tc>
      </w:tr>
      <w:tr w14:paraId="0B9C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9941949">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6A909C3C">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BFDD0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-3.270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221290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52E829F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102.200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1320464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-3.329</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25022F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3689F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99.700</w:t>
            </w:r>
          </w:p>
        </w:tc>
      </w:tr>
      <w:tr w14:paraId="435B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2F3A3C3F">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7</w:t>
            </w:r>
          </w:p>
        </w:tc>
        <w:tc>
          <w:tcPr>
            <w:tcW w:w="870" w:type="dxa"/>
            <w:tcBorders>
              <w:top w:val="single" w:color="auto" w:sz="4" w:space="0"/>
              <w:left w:val="single" w:color="auto" w:sz="4" w:space="0"/>
              <w:bottom w:val="single" w:color="auto" w:sz="4" w:space="0"/>
              <w:right w:val="single" w:color="auto" w:sz="4" w:space="0"/>
            </w:tcBorders>
            <w:vAlign w:val="center"/>
          </w:tcPr>
          <w:p w14:paraId="2584A893">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7418F3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-3.171</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BD505C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250743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106.700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73F51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-3.244</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4C72BF9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1116BE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103.400</w:t>
            </w:r>
          </w:p>
        </w:tc>
      </w:tr>
      <w:tr w14:paraId="3B15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506E084">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77CD49AF">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C326C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-3.151</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A3C4D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330F09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107.700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4BF601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-3.419</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5C098BD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9D5C88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105.600</w:t>
            </w:r>
          </w:p>
        </w:tc>
      </w:tr>
      <w:tr w14:paraId="26CB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3DFED9C">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2A01DF9D">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19CF0F5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-3.149</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3A4C7B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438ED0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107.700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4DF9C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-3.197</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3DBC9C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B9A130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105.500</w:t>
            </w:r>
          </w:p>
        </w:tc>
      </w:tr>
      <w:tr w14:paraId="4F1D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34C18F21">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Lab 8</w:t>
            </w:r>
          </w:p>
        </w:tc>
        <w:tc>
          <w:tcPr>
            <w:tcW w:w="870" w:type="dxa"/>
            <w:tcBorders>
              <w:top w:val="single" w:color="auto" w:sz="4" w:space="0"/>
              <w:left w:val="single" w:color="auto" w:sz="4" w:space="0"/>
              <w:bottom w:val="single" w:color="auto" w:sz="4" w:space="0"/>
              <w:right w:val="single" w:color="auto" w:sz="4" w:space="0"/>
            </w:tcBorders>
            <w:vAlign w:val="center"/>
          </w:tcPr>
          <w:p w14:paraId="331B9D28">
            <w:pPr>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1831243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-3.340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120DF8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23B647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99.239</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A2100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-3.418</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1AF064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26199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96.157</w:t>
            </w:r>
          </w:p>
        </w:tc>
      </w:tr>
      <w:tr w14:paraId="4AF0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D9B88D5">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461B0F02">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6BA0E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-3.497</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B1D2E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0.997</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0E2E157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93.164</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1130B63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-3.288</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5B00D76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B674B0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101.414</w:t>
            </w:r>
          </w:p>
        </w:tc>
      </w:tr>
      <w:tr w14:paraId="3547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CFD7B2F">
            <w:pPr>
              <w:widowControl/>
              <w:jc w:val="left"/>
              <w:rPr>
                <w:rFonts w:hint="default" w:ascii="Times New Roman" w:hAnsi="Times New Roman" w:eastAsia="宋体" w:cs="Times New Roman"/>
                <w:b w:val="0"/>
                <w:bCs/>
                <w:color w:val="auto"/>
                <w:sz w:val="18"/>
                <w:szCs w:val="18"/>
              </w:rPr>
            </w:pPr>
          </w:p>
        </w:tc>
        <w:tc>
          <w:tcPr>
            <w:tcW w:w="870" w:type="dxa"/>
            <w:tcBorders>
              <w:top w:val="single" w:color="auto" w:sz="4" w:space="0"/>
              <w:left w:val="single" w:color="auto" w:sz="4" w:space="0"/>
              <w:bottom w:val="single" w:color="auto" w:sz="4" w:space="0"/>
              <w:right w:val="single" w:color="auto" w:sz="4" w:space="0"/>
            </w:tcBorders>
            <w:vAlign w:val="center"/>
          </w:tcPr>
          <w:p w14:paraId="4C6F07A9">
            <w:pPr>
              <w:widowControl/>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4A93657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-3.380</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DE2662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0.997</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5E28B6C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97.640</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FBF042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-3.504</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4375D5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0.998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84749B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92.910</w:t>
            </w:r>
          </w:p>
        </w:tc>
      </w:tr>
    </w:tbl>
    <w:p w14:paraId="440DEFAC">
      <w:pPr>
        <w:rPr>
          <w:rFonts w:eastAsia="仿宋"/>
          <w:color w:val="auto"/>
        </w:rPr>
      </w:pPr>
    </w:p>
    <w:p w14:paraId="50D46827">
      <w:pPr>
        <w:pStyle w:val="5"/>
        <w:bidi w:val="0"/>
        <w:spacing w:before="50" w:beforeLines="50" w:after="50" w:afterLines="50" w:line="240" w:lineRule="auto"/>
        <w:ind w:firstLine="420" w:firstLineChars="200"/>
        <w:rPr>
          <w:rFonts w:hint="eastAsia" w:ascii="Times New Roman" w:hAnsi="Times New Roman" w:eastAsia="黑体" w:cs="Calibri"/>
          <w:b w:val="0"/>
          <w:lang w:val="en-US" w:eastAsia="zh-CN"/>
        </w:rPr>
      </w:pPr>
      <w:r>
        <w:rPr>
          <w:rFonts w:hint="eastAsia" w:ascii="Times New Roman" w:hAnsi="Times New Roman" w:eastAsia="黑体" w:cs="Calibri"/>
          <w:b w:val="0"/>
          <w:lang w:val="en-US" w:eastAsia="zh-CN"/>
        </w:rPr>
        <w:t>2.1.4 实验室标准曲线各参数合格判定</w:t>
      </w:r>
    </w:p>
    <w:p w14:paraId="484749B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Calibri"/>
          <w:szCs w:val="22"/>
        </w:rPr>
      </w:pPr>
      <w:r>
        <w:rPr>
          <w:rFonts w:hint="eastAsia" w:ascii="Times New Roman" w:hAnsi="Times New Roman" w:cs="Calibri"/>
          <w:szCs w:val="22"/>
          <w:lang w:eastAsia="zh-CN"/>
        </w:rPr>
        <w:t>表5-</w:t>
      </w:r>
      <w:r>
        <w:rPr>
          <w:rFonts w:hint="default" w:ascii="Times New Roman" w:hAnsi="Times New Roman" w:cs="Calibri"/>
          <w:szCs w:val="22"/>
        </w:rPr>
        <w:t>4的检测数据显示，8个实验室抗虫耐除草剂玉米</w:t>
      </w:r>
      <w:r>
        <w:rPr>
          <w:rFonts w:hint="default" w:ascii="Times New Roman" w:hAnsi="Times New Roman" w:cs="Calibri"/>
          <w:i/>
          <w:iCs/>
          <w:szCs w:val="22"/>
        </w:rPr>
        <w:t>zSSIIb</w:t>
      </w:r>
      <w:r>
        <w:rPr>
          <w:rFonts w:hint="default" w:ascii="Times New Roman" w:hAnsi="Times New Roman" w:cs="Calibri"/>
          <w:szCs w:val="22"/>
        </w:rPr>
        <w:t>内标基因和</w:t>
      </w:r>
      <w:r>
        <w:rPr>
          <w:rFonts w:hint="eastAsia" w:ascii="Times New Roman" w:hAnsi="Times New Roman" w:cs="Calibri"/>
          <w:szCs w:val="22"/>
          <w:lang w:eastAsia="zh-CN"/>
        </w:rPr>
        <w:t>QY2569-42</w:t>
      </w:r>
      <w:r>
        <w:rPr>
          <w:rFonts w:hint="default" w:ascii="Times New Roman" w:hAnsi="Times New Roman" w:cs="Calibri"/>
          <w:szCs w:val="22"/>
        </w:rPr>
        <w:t>转化体的标准曲线斜率分别在</w:t>
      </w:r>
      <w:r>
        <w:rPr>
          <w:rFonts w:hint="eastAsia" w:ascii="Times New Roman" w:hAnsi="Times New Roman" w:cs="Calibri"/>
          <w:szCs w:val="22"/>
          <w:lang w:val="en-US" w:eastAsia="zh-CN"/>
        </w:rPr>
        <w:t>-3.497</w:t>
      </w:r>
      <w:r>
        <w:rPr>
          <w:rFonts w:hint="default" w:ascii="Times New Roman" w:hAnsi="Times New Roman" w:cs="Calibri"/>
          <w:szCs w:val="22"/>
        </w:rPr>
        <w:t>～</w:t>
      </w:r>
      <w:r>
        <w:rPr>
          <w:rFonts w:hint="eastAsia" w:ascii="Times New Roman" w:hAnsi="Times New Roman" w:cs="Calibri"/>
          <w:szCs w:val="22"/>
          <w:lang w:val="en-US" w:eastAsia="zh-CN"/>
        </w:rPr>
        <w:t>-3.139</w:t>
      </w:r>
      <w:r>
        <w:rPr>
          <w:rFonts w:hint="default" w:ascii="Times New Roman" w:hAnsi="Times New Roman" w:cs="Calibri"/>
          <w:szCs w:val="22"/>
        </w:rPr>
        <w:t>、</w:t>
      </w:r>
      <w:r>
        <w:rPr>
          <w:rFonts w:hint="eastAsia" w:ascii="Times New Roman" w:hAnsi="Times New Roman" w:cs="Calibri"/>
          <w:szCs w:val="22"/>
          <w:lang w:val="en-US" w:eastAsia="zh-CN"/>
        </w:rPr>
        <w:t>-3.560</w:t>
      </w:r>
      <w:r>
        <w:rPr>
          <w:rFonts w:hint="default" w:ascii="Times New Roman" w:hAnsi="Times New Roman" w:cs="Calibri"/>
          <w:szCs w:val="22"/>
        </w:rPr>
        <w:t>～</w:t>
      </w:r>
      <w:r>
        <w:rPr>
          <w:rFonts w:hint="eastAsia" w:ascii="Times New Roman" w:hAnsi="Times New Roman" w:cs="Calibri"/>
          <w:szCs w:val="22"/>
          <w:lang w:val="en-US" w:eastAsia="zh-CN"/>
        </w:rPr>
        <w:t>-3.197</w:t>
      </w:r>
      <w:r>
        <w:rPr>
          <w:rFonts w:hint="default" w:ascii="Times New Roman" w:hAnsi="Times New Roman" w:cs="Calibri"/>
          <w:szCs w:val="22"/>
        </w:rPr>
        <w:t>之间，均位于-3.6～-3.1区间内；决定系数R</w:t>
      </w:r>
      <w:r>
        <w:rPr>
          <w:rFonts w:hint="default" w:ascii="Times New Roman" w:hAnsi="Times New Roman" w:cs="Calibri"/>
          <w:szCs w:val="22"/>
          <w:vertAlign w:val="superscript"/>
        </w:rPr>
        <w:t>2</w:t>
      </w:r>
      <w:r>
        <w:rPr>
          <w:rFonts w:hint="default" w:ascii="Times New Roman" w:hAnsi="Times New Roman" w:cs="Calibri"/>
          <w:szCs w:val="22"/>
        </w:rPr>
        <w:t>分别在</w:t>
      </w:r>
      <w:r>
        <w:rPr>
          <w:rFonts w:hint="default" w:ascii="Times New Roman" w:hAnsi="Times New Roman" w:cs="Calibri"/>
          <w:szCs w:val="22"/>
          <w:lang w:val="en-US" w:eastAsia="zh-CN"/>
        </w:rPr>
        <w:t>0.</w:t>
      </w:r>
      <w:r>
        <w:rPr>
          <w:rFonts w:hint="eastAsia" w:ascii="Times New Roman" w:hAnsi="Times New Roman" w:cs="Calibri"/>
          <w:szCs w:val="22"/>
          <w:lang w:val="en-US" w:eastAsia="zh-CN"/>
        </w:rPr>
        <w:t>982</w:t>
      </w:r>
      <w:r>
        <w:rPr>
          <w:rFonts w:hint="default" w:ascii="Times New Roman" w:hAnsi="Times New Roman" w:cs="Calibri"/>
          <w:szCs w:val="22"/>
        </w:rPr>
        <w:t>～</w:t>
      </w:r>
      <w:r>
        <w:rPr>
          <w:rFonts w:hint="default" w:ascii="Times New Roman" w:hAnsi="Times New Roman" w:cs="Calibri"/>
          <w:szCs w:val="22"/>
          <w:lang w:val="en-US" w:eastAsia="zh-CN"/>
        </w:rPr>
        <w:t>1.000</w:t>
      </w:r>
      <w:r>
        <w:rPr>
          <w:rFonts w:hint="default" w:ascii="Times New Roman" w:hAnsi="Times New Roman" w:cs="Calibri"/>
          <w:szCs w:val="22"/>
        </w:rPr>
        <w:t>、</w:t>
      </w:r>
      <w:r>
        <w:rPr>
          <w:rFonts w:hint="default" w:ascii="Times New Roman" w:hAnsi="Times New Roman" w:cs="Calibri"/>
          <w:szCs w:val="22"/>
          <w:lang w:val="en-US" w:eastAsia="zh-CN"/>
        </w:rPr>
        <w:t>0.9</w:t>
      </w:r>
      <w:r>
        <w:rPr>
          <w:rFonts w:hint="eastAsia" w:ascii="Times New Roman" w:hAnsi="Times New Roman" w:cs="Calibri"/>
          <w:szCs w:val="22"/>
          <w:lang w:val="en-US" w:eastAsia="zh-CN"/>
        </w:rPr>
        <w:t>86</w:t>
      </w:r>
      <w:r>
        <w:rPr>
          <w:rFonts w:hint="default" w:ascii="Times New Roman" w:hAnsi="Times New Roman" w:cs="Calibri"/>
          <w:szCs w:val="22"/>
        </w:rPr>
        <w:t>～</w:t>
      </w:r>
      <w:r>
        <w:rPr>
          <w:rFonts w:hint="default" w:ascii="Times New Roman" w:hAnsi="Times New Roman" w:cs="Calibri"/>
          <w:szCs w:val="22"/>
          <w:lang w:val="en-US" w:eastAsia="zh-CN"/>
        </w:rPr>
        <w:t>1.000</w:t>
      </w:r>
      <w:r>
        <w:rPr>
          <w:rFonts w:hint="default" w:ascii="Times New Roman" w:hAnsi="Times New Roman" w:cs="Calibri"/>
          <w:szCs w:val="22"/>
        </w:rPr>
        <w:t>之间，均大于可接受的最低值0.98；PCR扩增效率分别在</w:t>
      </w:r>
      <w:r>
        <w:rPr>
          <w:rFonts w:hint="eastAsia" w:ascii="Times New Roman" w:hAnsi="Times New Roman" w:cs="Calibri"/>
          <w:szCs w:val="22"/>
          <w:lang w:val="en-US" w:eastAsia="zh-CN"/>
        </w:rPr>
        <w:t>93.164</w:t>
      </w:r>
      <w:r>
        <w:rPr>
          <w:rFonts w:hint="default" w:ascii="Times New Roman" w:hAnsi="Times New Roman" w:cs="Calibri"/>
          <w:szCs w:val="22"/>
        </w:rPr>
        <w:t>%～</w:t>
      </w:r>
      <w:r>
        <w:rPr>
          <w:rFonts w:hint="eastAsia" w:ascii="Times New Roman" w:hAnsi="Times New Roman" w:cs="Calibri"/>
          <w:szCs w:val="22"/>
          <w:lang w:val="en-US" w:eastAsia="zh-CN"/>
        </w:rPr>
        <w:t>108.225</w:t>
      </w:r>
      <w:r>
        <w:rPr>
          <w:rFonts w:hint="default" w:ascii="Times New Roman" w:hAnsi="Times New Roman" w:cs="Calibri"/>
          <w:szCs w:val="22"/>
        </w:rPr>
        <w:t>%、</w:t>
      </w:r>
      <w:r>
        <w:rPr>
          <w:rFonts w:hint="eastAsia" w:ascii="Times New Roman" w:hAnsi="Times New Roman" w:cs="Calibri"/>
          <w:szCs w:val="22"/>
          <w:lang w:val="en-US" w:eastAsia="zh-CN"/>
        </w:rPr>
        <w:t>91.000</w:t>
      </w:r>
      <w:r>
        <w:rPr>
          <w:rFonts w:hint="default" w:ascii="Times New Roman" w:hAnsi="Times New Roman" w:cs="Calibri"/>
          <w:szCs w:val="22"/>
        </w:rPr>
        <w:t>%～</w:t>
      </w:r>
      <w:r>
        <w:rPr>
          <w:rFonts w:hint="eastAsia" w:ascii="Times New Roman" w:hAnsi="Times New Roman" w:cs="Calibri"/>
          <w:szCs w:val="22"/>
          <w:lang w:val="en-US" w:eastAsia="zh-CN"/>
        </w:rPr>
        <w:t>105.600</w:t>
      </w:r>
      <w:r>
        <w:rPr>
          <w:rFonts w:hint="default" w:ascii="Times New Roman" w:hAnsi="Times New Roman" w:cs="Calibri"/>
          <w:szCs w:val="22"/>
        </w:rPr>
        <w:t>%之间，均位于90%～110%的允许区间内。</w:t>
      </w:r>
    </w:p>
    <w:p w14:paraId="5597B77C">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8个实验室抗虫耐除草剂玉米</w:t>
      </w:r>
      <w:r>
        <w:rPr>
          <w:rFonts w:ascii="Times New Roman" w:hAnsi="Times New Roman" w:cs="Calibri"/>
          <w:i/>
          <w:iCs/>
          <w:szCs w:val="22"/>
        </w:rPr>
        <w:t>zSSIIb</w:t>
      </w:r>
      <w:r>
        <w:rPr>
          <w:rFonts w:ascii="Times New Roman" w:hAnsi="Times New Roman" w:cs="Calibri"/>
          <w:szCs w:val="22"/>
        </w:rPr>
        <w:t>内标基因和</w:t>
      </w:r>
      <w:r>
        <w:rPr>
          <w:rFonts w:hint="eastAsia" w:cs="Calibri"/>
          <w:szCs w:val="22"/>
          <w:lang w:eastAsia="zh-CN"/>
        </w:rPr>
        <w:t>QY2569-42</w:t>
      </w:r>
      <w:r>
        <w:rPr>
          <w:rFonts w:ascii="Times New Roman" w:hAnsi="Times New Roman" w:cs="Calibri"/>
          <w:szCs w:val="22"/>
        </w:rPr>
        <w:t>转化体的标准曲线的3个参数均在允许范围内，符合2259号公告</w:t>
      </w:r>
      <w:r>
        <w:rPr>
          <w:rFonts w:hint="eastAsia" w:ascii="Times New Roman" w:hAnsi="Times New Roman" w:cs="Calibri"/>
          <w:szCs w:val="22"/>
          <w:lang w:val="en-US" w:eastAsia="zh-CN"/>
        </w:rPr>
        <w:t>-</w:t>
      </w:r>
      <w:r>
        <w:rPr>
          <w:rFonts w:ascii="Times New Roman" w:hAnsi="Times New Roman" w:cs="Calibri"/>
          <w:szCs w:val="22"/>
        </w:rPr>
        <w:t>5</w:t>
      </w:r>
      <w:r>
        <w:rPr>
          <w:rFonts w:hint="eastAsia" w:ascii="Times New Roman" w:hAnsi="Times New Roman" w:cs="Calibri"/>
          <w:szCs w:val="22"/>
          <w:lang w:val="en-US" w:eastAsia="zh-CN"/>
        </w:rPr>
        <w:t>-</w:t>
      </w:r>
      <w:r>
        <w:rPr>
          <w:rFonts w:ascii="Times New Roman" w:hAnsi="Times New Roman" w:cs="Calibri"/>
          <w:szCs w:val="22"/>
        </w:rPr>
        <w:t>2015的要求，满足验证样品的定量需求。</w:t>
      </w:r>
    </w:p>
    <w:p w14:paraId="1866717B">
      <w:pPr>
        <w:pStyle w:val="5"/>
        <w:bidi w:val="0"/>
        <w:spacing w:before="50" w:beforeLines="50" w:after="50" w:afterLines="50" w:line="240" w:lineRule="auto"/>
        <w:ind w:firstLine="422" w:firstLineChars="200"/>
        <w:rPr>
          <w:rFonts w:ascii="Times New Roman" w:hAnsi="Times New Roman" w:cs="Calibri"/>
          <w:szCs w:val="22"/>
        </w:rPr>
      </w:pPr>
      <w:r>
        <w:rPr>
          <w:rFonts w:ascii="Times New Roman" w:hAnsi="Times New Roman" w:cs="Calibri"/>
          <w:szCs w:val="22"/>
        </w:rPr>
        <w:t>2.</w:t>
      </w:r>
      <w:r>
        <w:rPr>
          <w:rFonts w:hint="eastAsia" w:ascii="Times New Roman" w:hAnsi="Times New Roman" w:cs="Calibri"/>
          <w:szCs w:val="22"/>
          <w:lang w:val="en-US" w:eastAsia="zh-CN"/>
        </w:rPr>
        <w:t>2</w:t>
      </w:r>
      <w:r>
        <w:rPr>
          <w:rFonts w:ascii="Times New Roman" w:hAnsi="Times New Roman" w:cs="Calibri"/>
          <w:szCs w:val="22"/>
        </w:rPr>
        <w:t xml:space="preserve"> 检测数据统计及有效性确认</w:t>
      </w:r>
    </w:p>
    <w:p w14:paraId="378FF671">
      <w:pPr>
        <w:pStyle w:val="5"/>
        <w:bidi w:val="0"/>
        <w:spacing w:before="50" w:beforeLines="50" w:after="50" w:afterLines="50" w:line="240" w:lineRule="auto"/>
        <w:ind w:firstLine="422" w:firstLineChars="200"/>
        <w:rPr>
          <w:rFonts w:ascii="Times New Roman" w:hAnsi="Times New Roman" w:cs="Calibri"/>
          <w:szCs w:val="22"/>
        </w:rPr>
      </w:pPr>
      <w:r>
        <w:rPr>
          <w:rFonts w:hint="eastAsia" w:ascii="Times New Roman" w:hAnsi="Times New Roman" w:cs="Calibri"/>
          <w:szCs w:val="22"/>
          <w:lang w:val="en-US" w:eastAsia="zh-CN"/>
        </w:rPr>
        <w:t>2.</w:t>
      </w:r>
      <w:r>
        <w:rPr>
          <w:rFonts w:ascii="Times New Roman" w:hAnsi="Times New Roman" w:cs="Calibri"/>
          <w:szCs w:val="22"/>
        </w:rPr>
        <w:t>2.1 检测数据统计</w:t>
      </w:r>
    </w:p>
    <w:p w14:paraId="0DCF038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按照标准文本，8个实验室各自对统一提供的5个已知转基因含量样品检测，每个水平的样品设3个平行子样，每个子样至少重复3次PCR。每个实验室根据各水平样品的测定的</w:t>
      </w:r>
      <w:r>
        <w:rPr>
          <w:rFonts w:ascii="Times New Roman" w:hAnsi="Times New Roman" w:cs="Calibri"/>
          <w:i/>
          <w:iCs/>
          <w:szCs w:val="22"/>
        </w:rPr>
        <w:t>Ct</w:t>
      </w:r>
      <w:r>
        <w:rPr>
          <w:rFonts w:ascii="Times New Roman" w:hAnsi="Times New Roman" w:cs="Calibri"/>
          <w:szCs w:val="22"/>
        </w:rPr>
        <w:t>值和绘制的标准曲线，计算各样品的转基因含量。每个子样3次重复PCR，采用3次重复测量的转化体拷贝数浓度平均值与内标准基因拷贝数浓度平均值的比值作为该水平试样的1次平行的结果。</w:t>
      </w:r>
    </w:p>
    <w:p w14:paraId="45134536">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ascii="Times New Roman" w:hAnsi="Times New Roman" w:cs="Calibri"/>
          <w:szCs w:val="22"/>
        </w:rPr>
      </w:pPr>
      <w:r>
        <w:rPr>
          <w:rFonts w:ascii="Times New Roman" w:hAnsi="Times New Roman" w:cs="Calibri"/>
          <w:szCs w:val="22"/>
        </w:rPr>
        <w:object>
          <v:shape id="_x0000_i1041" o:spt="75" type="#_x0000_t75" style="height:32.45pt;width:87.7pt;" o:ole="t" filled="f" o:preferrelative="t" stroked="f" coordsize="21600,21600">
            <v:path/>
            <v:fill on="f" focussize="0,0"/>
            <v:stroke on="f" joinstyle="miter"/>
            <v:imagedata r:id="rId70" o:title=""/>
            <o:lock v:ext="edit" aspectratio="t"/>
            <w10:wrap type="none"/>
            <w10:anchorlock/>
          </v:shape>
          <o:OLEObject Type="Embed" ProgID="Equation.3" ShapeID="_x0000_i1041" DrawAspect="Content" ObjectID="_1468075741" r:id="rId69">
            <o:LockedField>false</o:LockedField>
          </o:OLEObject>
        </w:object>
      </w:r>
      <w:r>
        <w:rPr>
          <w:rFonts w:ascii="Times New Roman" w:hAnsi="Times New Roman" w:cs="Calibri"/>
          <w:szCs w:val="22"/>
        </w:rPr>
        <w:t xml:space="preserve">（其中n=3) </w:t>
      </w:r>
    </w:p>
    <w:p w14:paraId="5539C89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rPr>
      </w:pPr>
      <w:r>
        <w:rPr>
          <w:rFonts w:ascii="Times New Roman" w:hAnsi="Times New Roman" w:cs="Calibri"/>
          <w:szCs w:val="22"/>
        </w:rPr>
        <w:t>【特别提示1：上述公式n是第i个实验室第j个水平试样中的第k个平行子样的重复PCR次数】</w:t>
      </w:r>
    </w:p>
    <w:p w14:paraId="0A70CE9F">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Calibri"/>
          <w:szCs w:val="22"/>
          <w:lang w:eastAsia="zh-CN"/>
        </w:rPr>
      </w:pPr>
      <w:r>
        <w:rPr>
          <w:rFonts w:ascii="Times New Roman" w:hAnsi="Times New Roman" w:cs="Calibri"/>
          <w:szCs w:val="22"/>
        </w:rPr>
        <w:t>按照上述公式，核对各实验室对各个含量样品各子样转基因含量的检测结果，并汇总见</w:t>
      </w:r>
      <w:r>
        <w:rPr>
          <w:rFonts w:hint="eastAsia" w:cs="Calibri"/>
          <w:szCs w:val="22"/>
          <w:lang w:eastAsia="zh-CN"/>
        </w:rPr>
        <w:t>表</w:t>
      </w:r>
      <w:r>
        <w:rPr>
          <w:rFonts w:hint="eastAsia" w:cs="Calibri"/>
          <w:szCs w:val="22"/>
          <w:lang w:val="en-US" w:eastAsia="zh-CN"/>
        </w:rPr>
        <w:t>3</w:t>
      </w:r>
      <w:r>
        <w:rPr>
          <w:rFonts w:hint="eastAsia" w:cs="Calibri"/>
          <w:szCs w:val="22"/>
          <w:lang w:eastAsia="zh-CN"/>
        </w:rPr>
        <w:t>-</w:t>
      </w:r>
      <w:r>
        <w:rPr>
          <w:rFonts w:ascii="Times New Roman" w:hAnsi="Times New Roman" w:cs="Calibri"/>
          <w:szCs w:val="22"/>
        </w:rPr>
        <w:t>5</w:t>
      </w:r>
      <w:r>
        <w:rPr>
          <w:rFonts w:hint="eastAsia" w:ascii="Times New Roman" w:hAnsi="Times New Roman" w:cs="Calibri"/>
          <w:szCs w:val="22"/>
          <w:lang w:eastAsia="zh-CN"/>
        </w:rPr>
        <w:t>。</w:t>
      </w:r>
    </w:p>
    <w:p w14:paraId="6D0FB7DA">
      <w:pPr>
        <w:pStyle w:val="8"/>
        <w:keepNext/>
        <w:bidi w:val="0"/>
        <w:spacing w:line="240" w:lineRule="auto"/>
        <w:ind w:firstLine="0" w:firstLineChars="0"/>
        <w:jc w:val="center"/>
        <w:rPr>
          <w:rFonts w:ascii="Times New Roman" w:hAnsi="Times New Roman" w:eastAsia="黑体" w:cs="Calibri"/>
          <w:sz w:val="18"/>
          <w:szCs w:val="22"/>
        </w:rPr>
      </w:pPr>
      <w:r>
        <w:rPr>
          <w:rFonts w:hint="eastAsia" w:ascii="Times New Roman" w:hAnsi="Times New Roman" w:eastAsia="黑体" w:cs="Calibri"/>
          <w:sz w:val="18"/>
          <w:szCs w:val="22"/>
          <w:lang w:eastAsia="zh-CN"/>
        </w:rPr>
        <w:t>表</w:t>
      </w:r>
      <w:r>
        <w:rPr>
          <w:rFonts w:hint="eastAsia" w:ascii="Times New Roman" w:hAnsi="Times New Roman" w:eastAsia="黑体" w:cs="Calibri"/>
          <w:sz w:val="18"/>
          <w:szCs w:val="22"/>
          <w:lang w:val="en-US" w:eastAsia="zh-CN"/>
        </w:rPr>
        <w:t>3</w:t>
      </w:r>
      <w:r>
        <w:rPr>
          <w:rFonts w:hint="eastAsia" w:ascii="Times New Roman" w:hAnsi="Times New Roman" w:eastAsia="黑体" w:cs="Calibri"/>
          <w:sz w:val="18"/>
          <w:szCs w:val="22"/>
          <w:lang w:eastAsia="zh-CN"/>
        </w:rPr>
        <w:t>-</w:t>
      </w:r>
      <w:r>
        <w:rPr>
          <w:rFonts w:ascii="Times New Roman" w:hAnsi="Times New Roman" w:eastAsia="黑体" w:cs="Calibri"/>
          <w:sz w:val="18"/>
          <w:szCs w:val="22"/>
        </w:rPr>
        <w:t>5 8个实验室对5个含量样品各3个子样的检测结果统计汇总</w:t>
      </w:r>
    </w:p>
    <w:tbl>
      <w:tblPr>
        <w:tblStyle w:val="16"/>
        <w:tblW w:w="7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869"/>
        <w:gridCol w:w="1011"/>
        <w:gridCol w:w="1076"/>
        <w:gridCol w:w="1076"/>
        <w:gridCol w:w="1076"/>
        <w:gridCol w:w="1080"/>
      </w:tblGrid>
      <w:tr w14:paraId="73E5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71" w:type="dxa"/>
            <w:vMerge w:val="restart"/>
            <w:tcBorders>
              <w:top w:val="single" w:color="auto" w:sz="4" w:space="0"/>
              <w:left w:val="single" w:color="auto" w:sz="4" w:space="0"/>
              <w:right w:val="single" w:color="auto" w:sz="4" w:space="0"/>
            </w:tcBorders>
            <w:vAlign w:val="center"/>
          </w:tcPr>
          <w:p w14:paraId="31461FCF">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实验室</w:t>
            </w:r>
          </w:p>
        </w:tc>
        <w:tc>
          <w:tcPr>
            <w:tcW w:w="869" w:type="dxa"/>
            <w:vMerge w:val="restart"/>
            <w:tcBorders>
              <w:top w:val="single" w:color="auto" w:sz="4" w:space="0"/>
              <w:left w:val="single" w:color="auto" w:sz="4" w:space="0"/>
              <w:right w:val="single" w:color="auto" w:sz="4" w:space="0"/>
            </w:tcBorders>
            <w:vAlign w:val="center"/>
          </w:tcPr>
          <w:p w14:paraId="6C062DAB">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子样</w:t>
            </w:r>
          </w:p>
        </w:tc>
        <w:tc>
          <w:tcPr>
            <w:tcW w:w="5319" w:type="dxa"/>
            <w:gridSpan w:val="5"/>
            <w:tcBorders>
              <w:top w:val="single" w:color="auto" w:sz="4" w:space="0"/>
              <w:left w:val="single" w:color="auto" w:sz="4" w:space="0"/>
              <w:bottom w:val="single" w:color="auto" w:sz="4" w:space="0"/>
              <w:right w:val="single" w:color="auto" w:sz="4" w:space="0"/>
            </w:tcBorders>
            <w:vAlign w:val="center"/>
          </w:tcPr>
          <w:p w14:paraId="43F7B441">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样品转基因含量标称值（</w:t>
            </w:r>
            <w:r>
              <w:rPr>
                <w:rFonts w:hint="default" w:ascii="Times New Roman" w:hAnsi="Times New Roman" w:eastAsia="宋体" w:cs="Times New Roman"/>
                <w:b/>
                <w:bCs/>
                <w:sz w:val="18"/>
                <w:szCs w:val="18"/>
              </w:rPr>
              <w:t>%</w:t>
            </w:r>
            <w:r>
              <w:rPr>
                <w:rFonts w:hint="default" w:ascii="Times New Roman" w:hAnsi="Times New Roman" w:eastAsia="宋体" w:cs="Times New Roman"/>
                <w:b/>
                <w:sz w:val="18"/>
                <w:szCs w:val="18"/>
              </w:rPr>
              <w:t>）</w:t>
            </w:r>
          </w:p>
        </w:tc>
      </w:tr>
      <w:tr w14:paraId="4639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1" w:type="dxa"/>
            <w:vMerge w:val="continue"/>
            <w:tcBorders>
              <w:left w:val="single" w:color="auto" w:sz="4" w:space="0"/>
              <w:bottom w:val="single" w:color="auto" w:sz="4" w:space="0"/>
              <w:right w:val="single" w:color="auto" w:sz="4" w:space="0"/>
            </w:tcBorders>
            <w:vAlign w:val="center"/>
          </w:tcPr>
          <w:p w14:paraId="639355AE">
            <w:pPr>
              <w:jc w:val="center"/>
              <w:rPr>
                <w:rFonts w:hint="default" w:ascii="Times New Roman" w:hAnsi="Times New Roman" w:eastAsia="宋体" w:cs="Times New Roman"/>
                <w:b/>
                <w:sz w:val="18"/>
                <w:szCs w:val="18"/>
              </w:rPr>
            </w:pPr>
          </w:p>
        </w:tc>
        <w:tc>
          <w:tcPr>
            <w:tcW w:w="869" w:type="dxa"/>
            <w:vMerge w:val="continue"/>
            <w:tcBorders>
              <w:left w:val="single" w:color="auto" w:sz="4" w:space="0"/>
              <w:bottom w:val="single" w:color="auto" w:sz="4" w:space="0"/>
              <w:right w:val="single" w:color="auto" w:sz="4" w:space="0"/>
            </w:tcBorders>
            <w:vAlign w:val="center"/>
          </w:tcPr>
          <w:p w14:paraId="1DE3BEFA">
            <w:pPr>
              <w:jc w:val="center"/>
              <w:rPr>
                <w:rFonts w:hint="default" w:ascii="Times New Roman" w:hAnsi="Times New Roman" w:eastAsia="宋体" w:cs="Times New Roman"/>
                <w:b/>
                <w:sz w:val="18"/>
                <w:szCs w:val="18"/>
              </w:rPr>
            </w:pPr>
          </w:p>
        </w:tc>
        <w:tc>
          <w:tcPr>
            <w:tcW w:w="1011" w:type="dxa"/>
            <w:tcBorders>
              <w:top w:val="single" w:color="auto" w:sz="4" w:space="0"/>
              <w:left w:val="single" w:color="auto" w:sz="4" w:space="0"/>
              <w:bottom w:val="single" w:color="auto" w:sz="4" w:space="0"/>
              <w:right w:val="single" w:color="auto" w:sz="4" w:space="0"/>
            </w:tcBorders>
            <w:vAlign w:val="center"/>
          </w:tcPr>
          <w:p w14:paraId="43676AA3">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水平1</w:t>
            </w:r>
          </w:p>
          <w:p w14:paraId="1FDDD09E">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5.00</w:t>
            </w:r>
          </w:p>
        </w:tc>
        <w:tc>
          <w:tcPr>
            <w:tcW w:w="1076" w:type="dxa"/>
            <w:tcBorders>
              <w:top w:val="single" w:color="auto" w:sz="4" w:space="0"/>
              <w:left w:val="single" w:color="auto" w:sz="4" w:space="0"/>
              <w:bottom w:val="single" w:color="auto" w:sz="4" w:space="0"/>
              <w:right w:val="single" w:color="auto" w:sz="4" w:space="0"/>
            </w:tcBorders>
            <w:vAlign w:val="center"/>
          </w:tcPr>
          <w:p w14:paraId="6AC8C715">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水平2</w:t>
            </w:r>
          </w:p>
          <w:p w14:paraId="2F3056B3">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3.00</w:t>
            </w:r>
          </w:p>
        </w:tc>
        <w:tc>
          <w:tcPr>
            <w:tcW w:w="1076" w:type="dxa"/>
            <w:tcBorders>
              <w:top w:val="single" w:color="auto" w:sz="4" w:space="0"/>
              <w:left w:val="single" w:color="auto" w:sz="4" w:space="0"/>
              <w:bottom w:val="single" w:color="auto" w:sz="4" w:space="0"/>
              <w:right w:val="single" w:color="auto" w:sz="4" w:space="0"/>
            </w:tcBorders>
            <w:vAlign w:val="center"/>
          </w:tcPr>
          <w:p w14:paraId="0C7BEFC0">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水平3</w:t>
            </w:r>
          </w:p>
          <w:p w14:paraId="0D0802A7">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1.00</w:t>
            </w:r>
          </w:p>
        </w:tc>
        <w:tc>
          <w:tcPr>
            <w:tcW w:w="1076" w:type="dxa"/>
            <w:tcBorders>
              <w:top w:val="single" w:color="auto" w:sz="4" w:space="0"/>
              <w:left w:val="single" w:color="auto" w:sz="4" w:space="0"/>
              <w:bottom w:val="single" w:color="auto" w:sz="4" w:space="0"/>
              <w:right w:val="single" w:color="auto" w:sz="4" w:space="0"/>
            </w:tcBorders>
            <w:vAlign w:val="center"/>
          </w:tcPr>
          <w:p w14:paraId="4DA06BD9">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水平4</w:t>
            </w:r>
          </w:p>
          <w:p w14:paraId="74366A7E">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0.50</w:t>
            </w:r>
          </w:p>
        </w:tc>
        <w:tc>
          <w:tcPr>
            <w:tcW w:w="1080" w:type="dxa"/>
            <w:tcBorders>
              <w:top w:val="single" w:color="auto" w:sz="4" w:space="0"/>
              <w:left w:val="single" w:color="auto" w:sz="4" w:space="0"/>
              <w:bottom w:val="single" w:color="auto" w:sz="4" w:space="0"/>
              <w:right w:val="single" w:color="auto" w:sz="4" w:space="0"/>
            </w:tcBorders>
            <w:vAlign w:val="center"/>
          </w:tcPr>
          <w:p w14:paraId="49E7697C">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水平5</w:t>
            </w:r>
          </w:p>
          <w:p w14:paraId="1C2717E6">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0.10</w:t>
            </w:r>
          </w:p>
        </w:tc>
      </w:tr>
      <w:tr w14:paraId="6EEC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087DC717">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1</w:t>
            </w:r>
          </w:p>
        </w:tc>
        <w:tc>
          <w:tcPr>
            <w:tcW w:w="869" w:type="dxa"/>
            <w:tcBorders>
              <w:top w:val="single" w:color="auto" w:sz="4" w:space="0"/>
              <w:left w:val="single" w:color="auto" w:sz="4" w:space="0"/>
              <w:bottom w:val="single" w:color="auto" w:sz="4" w:space="0"/>
              <w:right w:val="single" w:color="auto" w:sz="4" w:space="0"/>
            </w:tcBorders>
          </w:tcPr>
          <w:p w14:paraId="0BFA6E4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0411D38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48F8EA5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3.15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BAB6C4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0.87</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4A87F1B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949A68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5C76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290F1D37">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58E269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06931AC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4.91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4DD14AB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3.13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5C92EF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0.86</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9572FC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924F07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0.10</w:t>
            </w:r>
          </w:p>
        </w:tc>
      </w:tr>
      <w:tr w14:paraId="5CEE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3E0CC33D">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2AC71D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049FDBA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AA57FA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D25867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4A5A328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B20B8D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0.10</w:t>
            </w:r>
          </w:p>
        </w:tc>
      </w:tr>
      <w:tr w14:paraId="0878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408D8062">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2</w:t>
            </w:r>
          </w:p>
        </w:tc>
        <w:tc>
          <w:tcPr>
            <w:tcW w:w="869" w:type="dxa"/>
            <w:tcBorders>
              <w:top w:val="single" w:color="auto" w:sz="4" w:space="0"/>
              <w:left w:val="single" w:color="auto" w:sz="4" w:space="0"/>
              <w:bottom w:val="single" w:color="auto" w:sz="4" w:space="0"/>
              <w:right w:val="single" w:color="auto" w:sz="4" w:space="0"/>
            </w:tcBorders>
          </w:tcPr>
          <w:p w14:paraId="333A54E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2715E35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5.33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8E5A05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3.50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514BD7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2B70B2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6A4A26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1AF2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3B8D0CB0">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181A6E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3A63B8A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0110DA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3.30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003D4F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672DC1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57428B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0.12</w:t>
            </w:r>
          </w:p>
        </w:tc>
      </w:tr>
      <w:tr w14:paraId="3D7D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1177F178">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4849A6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6328CDF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5.68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976021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3.53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45A8DD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1.06</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FFDC16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5A1DD0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0.12</w:t>
            </w:r>
          </w:p>
        </w:tc>
      </w:tr>
      <w:tr w14:paraId="7ABB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50902FD5">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3</w:t>
            </w:r>
          </w:p>
        </w:tc>
        <w:tc>
          <w:tcPr>
            <w:tcW w:w="869" w:type="dxa"/>
            <w:tcBorders>
              <w:top w:val="single" w:color="auto" w:sz="4" w:space="0"/>
              <w:left w:val="single" w:color="auto" w:sz="4" w:space="0"/>
              <w:bottom w:val="single" w:color="auto" w:sz="4" w:space="0"/>
              <w:right w:val="single" w:color="auto" w:sz="4" w:space="0"/>
            </w:tcBorders>
          </w:tcPr>
          <w:p w14:paraId="621BD2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5EB5AFE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4FF53E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2.99</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CBF415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2EDC39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64908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0.09</w:t>
            </w:r>
          </w:p>
        </w:tc>
      </w:tr>
      <w:tr w14:paraId="33B4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62B6371B">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22BB7FE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6B3F3D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4.91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B8E876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3.14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837BC9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0.92</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C1415C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87EA92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0.09</w:t>
            </w:r>
          </w:p>
        </w:tc>
      </w:tr>
      <w:tr w14:paraId="2DFC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099564C0">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228E77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6C5EA68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5.17</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D028F0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61AEF3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2DE5BF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52DD2F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21BC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5E92E68A">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4</w:t>
            </w:r>
          </w:p>
        </w:tc>
        <w:tc>
          <w:tcPr>
            <w:tcW w:w="869" w:type="dxa"/>
            <w:tcBorders>
              <w:top w:val="single" w:color="auto" w:sz="4" w:space="0"/>
              <w:left w:val="single" w:color="auto" w:sz="4" w:space="0"/>
              <w:bottom w:val="single" w:color="auto" w:sz="4" w:space="0"/>
              <w:right w:val="single" w:color="auto" w:sz="4" w:space="0"/>
            </w:tcBorders>
          </w:tcPr>
          <w:p w14:paraId="7BAE7C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18B17FE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464F9B6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3.09</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5A5260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1.07</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209FF2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BF6BDF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4C3B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73AA76B0">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2BB4ED3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3800E43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D84612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3.07</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B8B24F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61A35D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0.49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A4D534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2B9D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06E797BC">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577F84A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1F93936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0FD7FB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3.02</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3B9F89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2DC2D3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F15D84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0.12</w:t>
            </w:r>
          </w:p>
        </w:tc>
      </w:tr>
      <w:tr w14:paraId="29AB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19D0A0C2">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5</w:t>
            </w:r>
          </w:p>
        </w:tc>
        <w:tc>
          <w:tcPr>
            <w:tcW w:w="869" w:type="dxa"/>
            <w:tcBorders>
              <w:top w:val="single" w:color="auto" w:sz="4" w:space="0"/>
              <w:left w:val="single" w:color="auto" w:sz="4" w:space="0"/>
              <w:bottom w:val="single" w:color="auto" w:sz="4" w:space="0"/>
              <w:right w:val="single" w:color="auto" w:sz="4" w:space="0"/>
            </w:tcBorders>
          </w:tcPr>
          <w:p w14:paraId="3245CBE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45AA229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06F19F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2.59</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99C1E3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D00320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0.47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E5F011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0.10</w:t>
            </w:r>
          </w:p>
        </w:tc>
      </w:tr>
      <w:tr w14:paraId="3976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6787B752">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47FADD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3D127B1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4.00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7919FC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E3FEA0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31514B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0.44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B0314E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5C8D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105107EA">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1330B1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2CEB420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4.14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C11471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2B100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121BE6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18D524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230A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532B882F">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6</w:t>
            </w:r>
          </w:p>
        </w:tc>
        <w:tc>
          <w:tcPr>
            <w:tcW w:w="869" w:type="dxa"/>
            <w:tcBorders>
              <w:top w:val="single" w:color="auto" w:sz="4" w:space="0"/>
              <w:left w:val="single" w:color="auto" w:sz="4" w:space="0"/>
              <w:bottom w:val="single" w:color="auto" w:sz="4" w:space="0"/>
              <w:right w:val="single" w:color="auto" w:sz="4" w:space="0"/>
            </w:tcBorders>
          </w:tcPr>
          <w:p w14:paraId="674FFA5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614AF60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5.16</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34B36D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3.15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47F3E8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1.06</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7B4F01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1708EA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3D26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716FFDCF">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26F1A6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4672789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5.18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F6D7DC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3.12</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0F2E7F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B16BAB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173373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1E46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49F442BE">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6FE272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7F03FDD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5.04</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65F9E5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77A29C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3922C7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0.62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471183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0.10</w:t>
            </w:r>
          </w:p>
        </w:tc>
      </w:tr>
      <w:tr w14:paraId="7E91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5256EA15">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7</w:t>
            </w:r>
          </w:p>
        </w:tc>
        <w:tc>
          <w:tcPr>
            <w:tcW w:w="869" w:type="dxa"/>
            <w:tcBorders>
              <w:top w:val="single" w:color="auto" w:sz="4" w:space="0"/>
              <w:left w:val="single" w:color="auto" w:sz="4" w:space="0"/>
              <w:bottom w:val="single" w:color="auto" w:sz="4" w:space="0"/>
              <w:right w:val="single" w:color="auto" w:sz="4" w:space="0"/>
            </w:tcBorders>
          </w:tcPr>
          <w:p w14:paraId="346101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04202DE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E7871A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FD6D73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4AA70A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0.49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F44B68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5B56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0C990BEB">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43759B3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64ACA2C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8ECDC0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0C8667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C07D43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BD29DC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6286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6E20F8EB">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2BD07C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0D77FB4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4.97</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75DE19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F5EAED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4CD8C30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0.49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C41B1F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0.10</w:t>
            </w:r>
          </w:p>
        </w:tc>
      </w:tr>
      <w:tr w14:paraId="3E72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restart"/>
            <w:tcBorders>
              <w:top w:val="single" w:color="auto" w:sz="4" w:space="0"/>
              <w:left w:val="single" w:color="auto" w:sz="4" w:space="0"/>
              <w:bottom w:val="single" w:color="auto" w:sz="4" w:space="0"/>
              <w:right w:val="single" w:color="auto" w:sz="4" w:space="0"/>
            </w:tcBorders>
            <w:vAlign w:val="center"/>
          </w:tcPr>
          <w:p w14:paraId="143AECD4">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Lab 8</w:t>
            </w:r>
          </w:p>
        </w:tc>
        <w:tc>
          <w:tcPr>
            <w:tcW w:w="869" w:type="dxa"/>
            <w:tcBorders>
              <w:top w:val="single" w:color="auto" w:sz="4" w:space="0"/>
              <w:left w:val="single" w:color="auto" w:sz="4" w:space="0"/>
              <w:bottom w:val="single" w:color="auto" w:sz="4" w:space="0"/>
              <w:right w:val="single" w:color="auto" w:sz="4" w:space="0"/>
            </w:tcBorders>
          </w:tcPr>
          <w:p w14:paraId="747F27B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子样1</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281DFC8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5.88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8A52EF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3.59</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95B9AB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A0D9BE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0.60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3B88D9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0.09</w:t>
            </w:r>
          </w:p>
        </w:tc>
      </w:tr>
      <w:tr w14:paraId="658B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7EFFA102">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3A4089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子样2</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608F032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5.46</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ED6995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3.30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A7507B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20764D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11C653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0.12</w:t>
            </w:r>
          </w:p>
        </w:tc>
      </w:tr>
      <w:tr w14:paraId="3B0A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1" w:type="dxa"/>
            <w:vMerge w:val="continue"/>
            <w:tcBorders>
              <w:top w:val="single" w:color="auto" w:sz="4" w:space="0"/>
              <w:left w:val="single" w:color="auto" w:sz="4" w:space="0"/>
              <w:bottom w:val="single" w:color="auto" w:sz="4" w:space="0"/>
              <w:right w:val="single" w:color="auto" w:sz="4" w:space="0"/>
            </w:tcBorders>
            <w:vAlign w:val="center"/>
          </w:tcPr>
          <w:p w14:paraId="5F592F40">
            <w:pPr>
              <w:widowControl/>
              <w:jc w:val="left"/>
              <w:rPr>
                <w:rFonts w:hint="default" w:ascii="Times New Roman" w:hAnsi="Times New Roman" w:eastAsia="宋体" w:cs="Times New Roman"/>
                <w:b/>
                <w:sz w:val="18"/>
                <w:szCs w:val="18"/>
              </w:rPr>
            </w:pPr>
          </w:p>
        </w:tc>
        <w:tc>
          <w:tcPr>
            <w:tcW w:w="869" w:type="dxa"/>
            <w:tcBorders>
              <w:top w:val="single" w:color="auto" w:sz="4" w:space="0"/>
              <w:left w:val="single" w:color="auto" w:sz="4" w:space="0"/>
              <w:bottom w:val="single" w:color="auto" w:sz="4" w:space="0"/>
              <w:right w:val="single" w:color="auto" w:sz="4" w:space="0"/>
            </w:tcBorders>
          </w:tcPr>
          <w:p w14:paraId="74F4DD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子样3</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4B53812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5.81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83139E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3.32</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F7EDC9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1.08</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928784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0.60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07D243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p>
        </w:tc>
      </w:tr>
      <w:tr w14:paraId="0D08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71" w:type="dxa"/>
            <w:tcBorders>
              <w:top w:val="single" w:color="auto" w:sz="4" w:space="0"/>
              <w:left w:val="single" w:color="auto" w:sz="4" w:space="0"/>
              <w:bottom w:val="single" w:color="auto" w:sz="4" w:space="0"/>
              <w:right w:val="single" w:color="auto" w:sz="4" w:space="0"/>
            </w:tcBorders>
            <w:vAlign w:val="center"/>
          </w:tcPr>
          <w:p w14:paraId="24913F8F">
            <w:pPr>
              <w:widowControl/>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平均值</w:t>
            </w:r>
          </w:p>
        </w:tc>
        <w:tc>
          <w:tcPr>
            <w:tcW w:w="869" w:type="dxa"/>
            <w:tcBorders>
              <w:top w:val="single" w:color="auto" w:sz="4" w:space="0"/>
              <w:left w:val="single" w:color="auto" w:sz="4" w:space="0"/>
              <w:bottom w:val="single" w:color="auto" w:sz="4" w:space="0"/>
              <w:right w:val="single" w:color="auto" w:sz="4" w:space="0"/>
            </w:tcBorders>
          </w:tcPr>
          <w:p w14:paraId="6584FC0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14:paraId="41501356">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5.070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8B3ADD0">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3.067</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9FBA983">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0.955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B69161B">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0.544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1FE881B">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0.107</w:t>
            </w:r>
          </w:p>
        </w:tc>
      </w:tr>
    </w:tbl>
    <w:p w14:paraId="1CB9213A">
      <w:pPr>
        <w:pStyle w:val="6"/>
        <w:keepNext/>
        <w:keepLines/>
        <w:pageBreakBefore w:val="0"/>
        <w:widowControl w:val="0"/>
        <w:kinsoku/>
        <w:wordWrap/>
        <w:overflowPunct/>
        <w:topLinePunct w:val="0"/>
        <w:autoSpaceDE/>
        <w:autoSpaceDN/>
        <w:bidi w:val="0"/>
        <w:adjustRightInd/>
        <w:snapToGrid/>
        <w:spacing w:line="312" w:lineRule="auto"/>
        <w:ind w:firstLine="360" w:firstLineChars="200"/>
        <w:textAlignment w:val="auto"/>
        <w:rPr>
          <w:rFonts w:hint="default" w:ascii="Times New Roman" w:hAnsi="Times New Roman" w:eastAsia="宋体" w:cs="Times New Roman"/>
          <w:b w:val="0"/>
          <w:bCs/>
          <w:kern w:val="2"/>
          <w:sz w:val="18"/>
          <w:szCs w:val="18"/>
          <w:lang w:val="en-US" w:eastAsia="zh-CN" w:bidi="ar-SA"/>
        </w:rPr>
      </w:pPr>
    </w:p>
    <w:p w14:paraId="1527F89B">
      <w:pPr>
        <w:pStyle w:val="6"/>
        <w:keepNext/>
        <w:keepLines/>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2.2.2 检测数据的有效性确认</w:t>
      </w:r>
    </w:p>
    <w:p w14:paraId="728B88A5">
      <w:pPr>
        <w:pStyle w:val="6"/>
        <w:keepNext/>
        <w:keepLines/>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2.2.2.1 检测数据离群值分析</w:t>
      </w:r>
    </w:p>
    <w:p w14:paraId="17B2A486">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根据标准GB/T6379.2—2004</w:t>
      </w:r>
      <w:r>
        <w:rPr>
          <w:rFonts w:hint="eastAsia" w:ascii="Times New Roman" w:hAnsi="Times New Roman" w:cs="Calibri"/>
          <w:szCs w:val="22"/>
          <w:highlight w:val="none"/>
          <w:vertAlign w:val="superscript"/>
          <w:lang w:val="en-US" w:eastAsia="zh-CN"/>
        </w:rPr>
        <w:t>[8]</w:t>
      </w:r>
      <w:r>
        <w:rPr>
          <w:rFonts w:hint="eastAsia" w:ascii="Times New Roman" w:hAnsi="Times New Roman" w:cs="Calibri"/>
          <w:szCs w:val="22"/>
          <w:highlight w:val="none"/>
          <w:lang w:val="en-US" w:eastAsia="zh-CN"/>
        </w:rPr>
        <w:t>，</w:t>
      </w:r>
      <w:r>
        <w:rPr>
          <w:rFonts w:ascii="Times New Roman" w:hAnsi="Times New Roman" w:cs="Calibri"/>
          <w:szCs w:val="22"/>
          <w:highlight w:val="none"/>
        </w:rPr>
        <w:t>采用科克伦法（Cochran's test）和格拉布斯法（Grubbs tests）检测各实验室检测数据是否存在离群值。如果检验统计量小于或等于5%临界值，则接受被检验项目为正确值；如果检验统计量大于5%临界值，但小于或等于1%临界值，则称被检验项目为岐离值，该岐离值保留，并用于后续计算；若检验统计量大于1%临界值，则被检验项目称为统计离群值，要剔除该离群值。</w:t>
      </w:r>
    </w:p>
    <w:p w14:paraId="435CEFF0">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2.2.2.1.1 科克伦检验（等精度检验）</w:t>
      </w:r>
    </w:p>
    <w:p w14:paraId="7FBF9706">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5个水平（转基因含量）样品（q=5），分别在8个实验室（p=8）各进行了3个平行子样检测，每个子样3次PCR重复。计算各个含量样品在各实验室3个平行子样检测结果的标准差（s</w:t>
      </w:r>
      <w:r>
        <w:rPr>
          <w:rFonts w:ascii="Times New Roman" w:hAnsi="Times New Roman" w:cs="Calibri"/>
          <w:szCs w:val="22"/>
          <w:highlight w:val="none"/>
          <w:vertAlign w:val="subscript"/>
        </w:rPr>
        <w:t>ij</w:t>
      </w:r>
      <w:r>
        <w:rPr>
          <w:rFonts w:ascii="Times New Roman" w:hAnsi="Times New Roman" w:cs="Calibri"/>
          <w:szCs w:val="22"/>
          <w:highlight w:val="none"/>
        </w:rPr>
        <w:t>），按照8个实验室的s</w:t>
      </w:r>
      <w:r>
        <w:rPr>
          <w:rFonts w:ascii="Times New Roman" w:hAnsi="Times New Roman" w:cs="Calibri"/>
          <w:szCs w:val="22"/>
          <w:highlight w:val="none"/>
          <w:vertAlign w:val="subscript"/>
        </w:rPr>
        <w:t>ij</w:t>
      </w:r>
      <w:r>
        <w:rPr>
          <w:rFonts w:ascii="Times New Roman" w:hAnsi="Times New Roman" w:cs="Calibri"/>
          <w:szCs w:val="22"/>
          <w:highlight w:val="none"/>
        </w:rPr>
        <w:t>进行从大到小的排序后，找出的最大标准差（s</w:t>
      </w:r>
      <w:r>
        <w:rPr>
          <w:rFonts w:ascii="Times New Roman" w:hAnsi="Times New Roman" w:cs="Calibri"/>
          <w:szCs w:val="22"/>
          <w:highlight w:val="none"/>
          <w:vertAlign w:val="subscript"/>
        </w:rPr>
        <w:t>max，j</w:t>
      </w:r>
      <w:r>
        <w:rPr>
          <w:rFonts w:ascii="Times New Roman" w:hAnsi="Times New Roman" w:cs="Calibri"/>
          <w:szCs w:val="22"/>
          <w:highlight w:val="none"/>
        </w:rPr>
        <w:t>），计算检验统计量值C</w:t>
      </w:r>
      <w:r>
        <w:rPr>
          <w:rFonts w:ascii="Times New Roman" w:hAnsi="Times New Roman" w:cs="Calibri"/>
          <w:szCs w:val="22"/>
          <w:highlight w:val="none"/>
          <w:vertAlign w:val="subscript"/>
        </w:rPr>
        <w:t>j</w:t>
      </w:r>
      <w:r>
        <w:rPr>
          <w:rFonts w:ascii="Times New Roman" w:hAnsi="Times New Roman" w:cs="Calibri"/>
          <w:szCs w:val="22"/>
          <w:highlight w:val="none"/>
        </w:rPr>
        <w:t>，汇总后详见</w:t>
      </w:r>
      <w:r>
        <w:rPr>
          <w:rFonts w:hint="eastAsia" w:cs="Calibri"/>
          <w:szCs w:val="22"/>
          <w:highlight w:val="none"/>
          <w:lang w:eastAsia="zh-CN"/>
        </w:rPr>
        <w:t>表</w:t>
      </w:r>
      <w:r>
        <w:rPr>
          <w:rFonts w:hint="eastAsia" w:cs="Calibri"/>
          <w:szCs w:val="22"/>
          <w:highlight w:val="none"/>
          <w:lang w:val="en-US" w:eastAsia="zh-CN"/>
        </w:rPr>
        <w:t>3</w:t>
      </w:r>
      <w:r>
        <w:rPr>
          <w:rFonts w:hint="eastAsia" w:cs="Calibri"/>
          <w:szCs w:val="22"/>
          <w:highlight w:val="none"/>
          <w:lang w:eastAsia="zh-CN"/>
        </w:rPr>
        <w:t>-</w:t>
      </w:r>
      <w:r>
        <w:rPr>
          <w:rFonts w:ascii="Times New Roman" w:hAnsi="Times New Roman" w:cs="Calibri"/>
          <w:szCs w:val="22"/>
          <w:highlight w:val="none"/>
        </w:rPr>
        <w:t>6。</w:t>
      </w:r>
    </w:p>
    <w:p w14:paraId="52CC0D6E">
      <w:pPr>
        <w:bidi w:val="0"/>
        <w:spacing w:line="312" w:lineRule="auto"/>
        <w:ind w:firstLine="420" w:firstLineChars="200"/>
        <w:rPr>
          <w:rFonts w:ascii="Times New Roman" w:hAnsi="Times New Roman" w:cs="Calibri"/>
          <w:szCs w:val="22"/>
          <w:highlight w:val="none"/>
        </w:rPr>
      </w:pPr>
      <w:r>
        <w:rPr>
          <w:rFonts w:ascii="Times New Roman" w:hAnsi="Times New Roman" w:cs="Calibri"/>
          <w:szCs w:val="22"/>
          <w:highlight w:val="none"/>
        </w:rPr>
        <w:t>各水平的科克伦检验统计量C</w:t>
      </w:r>
      <w:r>
        <w:rPr>
          <w:rFonts w:ascii="Times New Roman" w:hAnsi="Times New Roman" w:cs="Calibri"/>
          <w:szCs w:val="22"/>
          <w:highlight w:val="none"/>
          <w:vertAlign w:val="subscript"/>
        </w:rPr>
        <w:t>j</w:t>
      </w:r>
      <w:r>
        <w:rPr>
          <w:rFonts w:ascii="Times New Roman" w:hAnsi="Times New Roman" w:cs="Calibri"/>
          <w:szCs w:val="22"/>
          <w:highlight w:val="none"/>
        </w:rPr>
        <w:t>计算公式为</w:t>
      </w:r>
    </w:p>
    <w:p w14:paraId="46448629">
      <w:pPr>
        <w:bidi w:val="0"/>
        <w:spacing w:line="312" w:lineRule="auto"/>
        <w:ind w:firstLine="420" w:firstLineChars="200"/>
        <w:jc w:val="center"/>
        <w:rPr>
          <w:rFonts w:ascii="Times New Roman" w:hAnsi="Times New Roman" w:cs="Calibri"/>
          <w:szCs w:val="22"/>
          <w:highlight w:val="none"/>
        </w:rPr>
      </w:pPr>
      <w:r>
        <w:rPr>
          <w:rFonts w:ascii="Times New Roman" w:hAnsi="Times New Roman" w:cs="Calibri"/>
          <w:szCs w:val="22"/>
          <w:highlight w:val="none"/>
        </w:rPr>
        <w:drawing>
          <wp:inline distT="0" distB="0" distL="114300" distR="114300">
            <wp:extent cx="823595" cy="565150"/>
            <wp:effectExtent l="0" t="0" r="0" b="6350"/>
            <wp:docPr id="13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6"/>
                    <pic:cNvPicPr>
                      <a:picLocks noChangeAspect="1"/>
                    </pic:cNvPicPr>
                  </pic:nvPicPr>
                  <pic:blipFill>
                    <a:blip r:embed="rId71">
                      <a:lum/>
                    </a:blip>
                    <a:stretch>
                      <a:fillRect/>
                    </a:stretch>
                  </pic:blipFill>
                  <pic:spPr>
                    <a:xfrm>
                      <a:off x="0" y="0"/>
                      <a:ext cx="823595" cy="565150"/>
                    </a:xfrm>
                    <a:prstGeom prst="rect">
                      <a:avLst/>
                    </a:prstGeom>
                    <a:noFill/>
                    <a:ln>
                      <a:noFill/>
                    </a:ln>
                  </pic:spPr>
                </pic:pic>
              </a:graphicData>
            </a:graphic>
          </wp:inline>
        </w:drawing>
      </w:r>
    </w:p>
    <w:p w14:paraId="0438204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highlight w:val="none"/>
        </w:rPr>
      </w:pPr>
      <w:r>
        <w:rPr>
          <w:rFonts w:ascii="Times New Roman" w:hAnsi="Times New Roman" w:cs="Calibri"/>
          <w:szCs w:val="22"/>
          <w:highlight w:val="none"/>
        </w:rPr>
        <w:t>式中：</w:t>
      </w:r>
    </w:p>
    <w:p w14:paraId="7CB0B17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highlight w:val="none"/>
        </w:rPr>
      </w:pPr>
      <w:r>
        <w:rPr>
          <w:rFonts w:ascii="Times New Roman" w:hAnsi="Times New Roman" w:cs="Calibri"/>
          <w:szCs w:val="22"/>
          <w:highlight w:val="none"/>
        </w:rPr>
        <w:t>C</w:t>
      </w:r>
      <w:r>
        <w:rPr>
          <w:rFonts w:ascii="Times New Roman" w:hAnsi="Times New Roman" w:cs="Calibri"/>
          <w:szCs w:val="22"/>
          <w:highlight w:val="none"/>
          <w:vertAlign w:val="subscript"/>
        </w:rPr>
        <w:t>j</w:t>
      </w:r>
      <w:r>
        <w:rPr>
          <w:rFonts w:ascii="Times New Roman" w:hAnsi="Times New Roman" w:cs="Calibri"/>
          <w:szCs w:val="22"/>
          <w:highlight w:val="none"/>
        </w:rPr>
        <w:t xml:space="preserve">  —每个含量样品的科克伦检验统计量</w:t>
      </w:r>
    </w:p>
    <w:p w14:paraId="122E5B1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highlight w:val="none"/>
        </w:rPr>
      </w:pPr>
      <w:r>
        <w:rPr>
          <w:rFonts w:ascii="Times New Roman" w:hAnsi="Times New Roman" w:cs="Calibri"/>
          <w:szCs w:val="22"/>
          <w:highlight w:val="none"/>
        </w:rPr>
        <w:drawing>
          <wp:inline distT="0" distB="0" distL="114300" distR="114300">
            <wp:extent cx="332105" cy="240665"/>
            <wp:effectExtent l="0" t="0" r="10795" b="5080"/>
            <wp:docPr id="1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7"/>
                    <pic:cNvPicPr>
                      <a:picLocks noChangeAspect="1"/>
                    </pic:cNvPicPr>
                  </pic:nvPicPr>
                  <pic:blipFill>
                    <a:blip r:embed="rId72">
                      <a:lum/>
                    </a:blip>
                    <a:stretch>
                      <a:fillRect/>
                    </a:stretch>
                  </pic:blipFill>
                  <pic:spPr>
                    <a:xfrm>
                      <a:off x="0" y="0"/>
                      <a:ext cx="332105" cy="240665"/>
                    </a:xfrm>
                    <a:prstGeom prst="rect">
                      <a:avLst/>
                    </a:prstGeom>
                    <a:noFill/>
                    <a:ln>
                      <a:noFill/>
                    </a:ln>
                  </pic:spPr>
                </pic:pic>
              </a:graphicData>
            </a:graphic>
          </wp:inline>
        </w:drawing>
      </w:r>
      <w:r>
        <w:rPr>
          <w:rFonts w:hint="eastAsia" w:ascii="Times New Roman" w:hAnsi="Times New Roman" w:cs="Calibri"/>
          <w:szCs w:val="22"/>
          <w:highlight w:val="none"/>
          <w:lang w:val="en-US" w:eastAsia="zh-CN"/>
        </w:rPr>
        <w:t xml:space="preserve">  </w:t>
      </w:r>
      <w:r>
        <w:rPr>
          <w:rFonts w:ascii="Times New Roman" w:hAnsi="Times New Roman" w:cs="Calibri"/>
          <w:szCs w:val="22"/>
          <w:highlight w:val="none"/>
        </w:rPr>
        <w:t>—各实验室第j水平m个平行子样测量结果标准差中的最大值（共8个实验室，8个数据比较）。</w:t>
      </w:r>
    </w:p>
    <w:p w14:paraId="09F650F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highlight w:val="none"/>
        </w:rPr>
      </w:pPr>
      <w:r>
        <w:rPr>
          <w:rFonts w:ascii="Times New Roman" w:hAnsi="Times New Roman" w:cs="Calibri"/>
          <w:szCs w:val="22"/>
          <w:highlight w:val="none"/>
        </w:rPr>
        <w:t>s</w:t>
      </w:r>
      <w:r>
        <w:rPr>
          <w:rFonts w:ascii="Times New Roman" w:hAnsi="Times New Roman" w:cs="Calibri"/>
          <w:szCs w:val="22"/>
          <w:highlight w:val="none"/>
          <w:vertAlign w:val="subscript"/>
        </w:rPr>
        <w:t>ij</w:t>
      </w:r>
      <w:r>
        <w:rPr>
          <w:rFonts w:ascii="Times New Roman" w:hAnsi="Times New Roman" w:cs="Calibri"/>
          <w:szCs w:val="22"/>
          <w:highlight w:val="none"/>
        </w:rPr>
        <w:t xml:space="preserve"> </w:t>
      </w:r>
      <w:r>
        <w:rPr>
          <w:rFonts w:hint="eastAsia" w:ascii="Times New Roman" w:hAnsi="Times New Roman" w:cs="Calibri"/>
          <w:szCs w:val="22"/>
          <w:highlight w:val="none"/>
          <w:lang w:val="en-US" w:eastAsia="zh-CN"/>
        </w:rPr>
        <w:t xml:space="preserve"> </w:t>
      </w:r>
      <w:r>
        <w:rPr>
          <w:rFonts w:ascii="Times New Roman" w:hAnsi="Times New Roman" w:cs="Calibri"/>
          <w:szCs w:val="22"/>
          <w:highlight w:val="none"/>
        </w:rPr>
        <w:t>—第i个实验室第j个含量样品m个平行子样检测结果的标准差。</w:t>
      </w:r>
    </w:p>
    <w:p w14:paraId="6D472B1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Times New Roman" w:hAnsi="Times New Roman" w:cs="Calibri"/>
          <w:szCs w:val="22"/>
          <w:highlight w:val="none"/>
        </w:rPr>
      </w:pPr>
      <w:r>
        <w:rPr>
          <w:rFonts w:ascii="Times New Roman" w:hAnsi="Times New Roman" w:cs="Calibri"/>
          <w:szCs w:val="22"/>
          <w:highlight w:val="none"/>
        </w:rPr>
        <w:t>p  —实验室个数。</w:t>
      </w:r>
    </w:p>
    <w:p w14:paraId="2782D34D">
      <w:pPr>
        <w:pStyle w:val="8"/>
        <w:keepNext/>
        <w:bidi w:val="0"/>
        <w:spacing w:line="240" w:lineRule="auto"/>
        <w:ind w:firstLine="0" w:firstLineChars="0"/>
        <w:jc w:val="center"/>
        <w:rPr>
          <w:rFonts w:ascii="Times New Roman" w:hAnsi="Times New Roman" w:eastAsia="黑体" w:cs="Calibri"/>
          <w:sz w:val="18"/>
          <w:szCs w:val="22"/>
        </w:rPr>
      </w:pPr>
      <w:r>
        <w:rPr>
          <w:rFonts w:hint="eastAsia" w:ascii="Times New Roman" w:hAnsi="Times New Roman" w:eastAsia="黑体" w:cs="Calibri"/>
          <w:sz w:val="18"/>
          <w:szCs w:val="22"/>
          <w:lang w:eastAsia="zh-CN"/>
        </w:rPr>
        <w:t>表</w:t>
      </w:r>
      <w:r>
        <w:rPr>
          <w:rFonts w:hint="eastAsia" w:ascii="Times New Roman" w:hAnsi="Times New Roman" w:eastAsia="黑体" w:cs="Calibri"/>
          <w:sz w:val="18"/>
          <w:szCs w:val="22"/>
          <w:lang w:val="en-US" w:eastAsia="zh-CN"/>
        </w:rPr>
        <w:t>3</w:t>
      </w:r>
      <w:r>
        <w:rPr>
          <w:rFonts w:hint="eastAsia" w:ascii="Times New Roman" w:hAnsi="Times New Roman" w:eastAsia="黑体" w:cs="Calibri"/>
          <w:sz w:val="18"/>
          <w:szCs w:val="22"/>
          <w:lang w:eastAsia="zh-CN"/>
        </w:rPr>
        <w:t>-</w:t>
      </w:r>
      <w:r>
        <w:rPr>
          <w:rFonts w:ascii="Times New Roman" w:hAnsi="Times New Roman" w:eastAsia="黑体" w:cs="Calibri"/>
          <w:sz w:val="18"/>
          <w:szCs w:val="22"/>
        </w:rPr>
        <w:t>6 各含量样品标准差最大的实验室及其检验统计量</w:t>
      </w:r>
    </w:p>
    <w:tbl>
      <w:tblPr>
        <w:tblStyle w:val="16"/>
        <w:tblW w:w="14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500"/>
        <w:gridCol w:w="1890"/>
        <w:gridCol w:w="1511"/>
        <w:gridCol w:w="1245"/>
        <w:gridCol w:w="1553"/>
      </w:tblGrid>
      <w:tr w14:paraId="3D85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8" w:type="dxa"/>
            <w:vMerge w:val="restart"/>
            <w:vAlign w:val="center"/>
          </w:tcPr>
          <w:p w14:paraId="5476B629">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序号</w:t>
            </w:r>
          </w:p>
        </w:tc>
        <w:tc>
          <w:tcPr>
            <w:tcW w:w="1500" w:type="dxa"/>
            <w:vMerge w:val="restart"/>
            <w:vAlign w:val="center"/>
          </w:tcPr>
          <w:p w14:paraId="11BAF706">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样品含量标称值</w:t>
            </w:r>
          </w:p>
        </w:tc>
        <w:tc>
          <w:tcPr>
            <w:tcW w:w="1890" w:type="dxa"/>
            <w:vMerge w:val="restart"/>
            <w:vAlign w:val="center"/>
          </w:tcPr>
          <w:p w14:paraId="41CF12E2">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sz w:val="18"/>
                <w:szCs w:val="18"/>
              </w:rPr>
              <w:t>S</w:t>
            </w:r>
            <w:r>
              <w:rPr>
                <w:rFonts w:hint="default" w:ascii="Times New Roman" w:hAnsi="Times New Roman" w:eastAsia="宋体" w:cs="Times New Roman"/>
                <w:b/>
                <w:bCs/>
                <w:i/>
                <w:iCs/>
                <w:sz w:val="18"/>
                <w:szCs w:val="18"/>
                <w:vertAlign w:val="subscript"/>
              </w:rPr>
              <w:t>ij</w:t>
            </w:r>
            <w:r>
              <w:rPr>
                <w:rFonts w:hint="default" w:ascii="Times New Roman" w:hAnsi="Times New Roman" w:eastAsia="宋体" w:cs="Times New Roman"/>
                <w:b/>
                <w:bCs/>
                <w:sz w:val="18"/>
                <w:szCs w:val="18"/>
              </w:rPr>
              <w:t>最大实验室</w:t>
            </w:r>
            <w:r>
              <w:rPr>
                <w:rFonts w:hint="default" w:ascii="Times New Roman" w:hAnsi="Times New Roman" w:eastAsia="宋体" w:cs="Times New Roman"/>
                <w:sz w:val="18"/>
                <w:szCs w:val="18"/>
              </w:rPr>
              <w:t>（</w:t>
            </w:r>
            <w:r>
              <w:rPr>
                <w:rFonts w:hint="default" w:ascii="Times New Roman" w:hAnsi="Times New Roman" w:eastAsia="宋体" w:cs="Times New Roman"/>
                <w:i/>
                <w:iCs/>
                <w:sz w:val="18"/>
                <w:szCs w:val="18"/>
              </w:rPr>
              <w:t>s</w:t>
            </w:r>
            <w:r>
              <w:rPr>
                <w:rFonts w:hint="default" w:ascii="Times New Roman" w:hAnsi="Times New Roman" w:eastAsia="宋体" w:cs="Times New Roman"/>
                <w:iCs/>
                <w:sz w:val="18"/>
                <w:szCs w:val="18"/>
                <w:vertAlign w:val="subscript"/>
              </w:rPr>
              <w:t>max，j</w:t>
            </w:r>
            <w:r>
              <w:rPr>
                <w:rFonts w:hint="default" w:ascii="Times New Roman" w:hAnsi="Times New Roman" w:eastAsia="宋体" w:cs="Times New Roman"/>
                <w:sz w:val="18"/>
                <w:szCs w:val="18"/>
              </w:rPr>
              <w:t>）</w:t>
            </w:r>
          </w:p>
        </w:tc>
        <w:tc>
          <w:tcPr>
            <w:tcW w:w="1511" w:type="dxa"/>
            <w:vMerge w:val="restart"/>
            <w:vAlign w:val="center"/>
          </w:tcPr>
          <w:p w14:paraId="3BD7E0FF">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检验统计量值</w:t>
            </w:r>
            <w:r>
              <w:rPr>
                <w:rFonts w:hint="default" w:ascii="Times New Roman" w:hAnsi="Times New Roman" w:eastAsia="宋体" w:cs="Times New Roman"/>
                <w:b/>
                <w:bCs/>
                <w:i/>
                <w:iCs/>
                <w:sz w:val="18"/>
                <w:szCs w:val="18"/>
              </w:rPr>
              <w:t>C</w:t>
            </w:r>
            <w:r>
              <w:rPr>
                <w:rFonts w:hint="default" w:ascii="Times New Roman" w:hAnsi="Times New Roman" w:eastAsia="宋体" w:cs="Times New Roman"/>
                <w:b/>
                <w:bCs/>
                <w:i/>
                <w:iCs/>
                <w:sz w:val="18"/>
                <w:szCs w:val="18"/>
                <w:vertAlign w:val="subscript"/>
              </w:rPr>
              <w:t>j</w:t>
            </w:r>
          </w:p>
        </w:tc>
        <w:tc>
          <w:tcPr>
            <w:tcW w:w="1245" w:type="dxa"/>
            <w:vAlign w:val="center"/>
          </w:tcPr>
          <w:p w14:paraId="4D6D2B0A">
            <w:pPr>
              <w:spacing w:line="276" w:lineRule="auto"/>
              <w:jc w:val="center"/>
              <w:rPr>
                <w:rFonts w:hint="default" w:ascii="Times New Roman" w:hAnsi="Times New Roman" w:eastAsia="仿宋" w:cs="Times New Roman"/>
                <w:b/>
                <w:bCs/>
                <w:sz w:val="18"/>
                <w:szCs w:val="18"/>
              </w:rPr>
            </w:pPr>
            <w:r>
              <w:rPr>
                <w:rFonts w:hint="default" w:ascii="Times New Roman" w:hAnsi="Times New Roman" w:eastAsia="仿宋" w:cs="Times New Roman"/>
                <w:b/>
                <w:bCs/>
                <w:sz w:val="18"/>
                <w:szCs w:val="18"/>
              </w:rPr>
              <w:t>5%临界值</w:t>
            </w:r>
          </w:p>
        </w:tc>
        <w:tc>
          <w:tcPr>
            <w:tcW w:w="1553" w:type="dxa"/>
            <w:vAlign w:val="center"/>
          </w:tcPr>
          <w:p w14:paraId="48047A90">
            <w:pPr>
              <w:spacing w:line="276" w:lineRule="auto"/>
              <w:jc w:val="left"/>
              <w:rPr>
                <w:rFonts w:hint="default" w:ascii="Times New Roman" w:hAnsi="Times New Roman" w:eastAsia="仿宋" w:cs="Times New Roman"/>
                <w:b/>
                <w:bCs/>
                <w:sz w:val="18"/>
                <w:szCs w:val="18"/>
              </w:rPr>
            </w:pPr>
            <w:r>
              <w:rPr>
                <w:rFonts w:hint="default" w:ascii="Times New Roman" w:hAnsi="Times New Roman" w:eastAsia="仿宋" w:cs="Times New Roman"/>
                <w:b/>
                <w:bCs/>
                <w:sz w:val="18"/>
                <w:szCs w:val="18"/>
              </w:rPr>
              <w:t>1%临界值</w:t>
            </w:r>
          </w:p>
        </w:tc>
      </w:tr>
      <w:tr w14:paraId="4576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8" w:type="dxa"/>
            <w:vMerge w:val="continue"/>
            <w:vAlign w:val="center"/>
          </w:tcPr>
          <w:p w14:paraId="35F777AC">
            <w:pPr>
              <w:spacing w:line="276" w:lineRule="auto"/>
              <w:jc w:val="center"/>
              <w:rPr>
                <w:rFonts w:hint="default" w:ascii="Times New Roman" w:hAnsi="Times New Roman" w:eastAsia="宋体" w:cs="Times New Roman"/>
                <w:b/>
                <w:bCs/>
                <w:sz w:val="18"/>
                <w:szCs w:val="18"/>
              </w:rPr>
            </w:pPr>
          </w:p>
        </w:tc>
        <w:tc>
          <w:tcPr>
            <w:tcW w:w="1500" w:type="dxa"/>
            <w:vMerge w:val="continue"/>
            <w:vAlign w:val="center"/>
          </w:tcPr>
          <w:p w14:paraId="4B427726">
            <w:pPr>
              <w:spacing w:line="276" w:lineRule="auto"/>
              <w:jc w:val="center"/>
              <w:rPr>
                <w:rFonts w:hint="default" w:ascii="Times New Roman" w:hAnsi="Times New Roman" w:eastAsia="宋体" w:cs="Times New Roman"/>
                <w:b/>
                <w:bCs/>
                <w:sz w:val="18"/>
                <w:szCs w:val="18"/>
              </w:rPr>
            </w:pPr>
          </w:p>
        </w:tc>
        <w:tc>
          <w:tcPr>
            <w:tcW w:w="1890" w:type="dxa"/>
            <w:vMerge w:val="continue"/>
            <w:vAlign w:val="center"/>
          </w:tcPr>
          <w:p w14:paraId="73AC33F1">
            <w:pPr>
              <w:spacing w:line="276" w:lineRule="auto"/>
              <w:jc w:val="center"/>
              <w:rPr>
                <w:rFonts w:hint="default" w:ascii="Times New Roman" w:hAnsi="Times New Roman" w:eastAsia="宋体" w:cs="Times New Roman"/>
                <w:b/>
                <w:bCs/>
                <w:i/>
                <w:iCs/>
                <w:sz w:val="18"/>
                <w:szCs w:val="18"/>
              </w:rPr>
            </w:pPr>
          </w:p>
        </w:tc>
        <w:tc>
          <w:tcPr>
            <w:tcW w:w="1511" w:type="dxa"/>
            <w:vMerge w:val="continue"/>
            <w:vAlign w:val="center"/>
          </w:tcPr>
          <w:p w14:paraId="616AD82A">
            <w:pPr>
              <w:spacing w:line="276" w:lineRule="auto"/>
              <w:jc w:val="center"/>
              <w:rPr>
                <w:rFonts w:hint="default" w:ascii="Times New Roman" w:hAnsi="Times New Roman" w:eastAsia="宋体" w:cs="Times New Roman"/>
                <w:b/>
                <w:bCs/>
                <w:sz w:val="18"/>
                <w:szCs w:val="18"/>
              </w:rPr>
            </w:pPr>
          </w:p>
        </w:tc>
        <w:tc>
          <w:tcPr>
            <w:tcW w:w="2798" w:type="dxa"/>
            <w:gridSpan w:val="2"/>
            <w:vAlign w:val="center"/>
          </w:tcPr>
          <w:p w14:paraId="62E8E568">
            <w:pPr>
              <w:spacing w:line="276" w:lineRule="auto"/>
              <w:jc w:val="center"/>
              <w:rPr>
                <w:rFonts w:hint="default" w:ascii="Times New Roman" w:hAnsi="Times New Roman" w:eastAsia="仿宋" w:cs="Times New Roman"/>
                <w:b/>
                <w:bCs/>
                <w:sz w:val="18"/>
                <w:szCs w:val="18"/>
              </w:rPr>
            </w:pPr>
            <w:r>
              <w:rPr>
                <w:rFonts w:hint="default" w:ascii="Times New Roman" w:hAnsi="Times New Roman" w:eastAsia="仿宋" w:cs="Times New Roman"/>
                <w:b/>
                <w:bCs/>
                <w:sz w:val="18"/>
                <w:szCs w:val="18"/>
              </w:rPr>
              <w:t>实验室</w:t>
            </w:r>
            <w:r>
              <w:rPr>
                <w:rFonts w:hint="default" w:ascii="Times New Roman" w:hAnsi="Times New Roman" w:eastAsia="仿宋" w:cs="Times New Roman"/>
                <w:b/>
                <w:bCs/>
                <w:i/>
                <w:iCs/>
                <w:sz w:val="18"/>
                <w:szCs w:val="18"/>
              </w:rPr>
              <w:t>p</w:t>
            </w:r>
            <w:r>
              <w:rPr>
                <w:rFonts w:hint="default" w:ascii="Times New Roman" w:hAnsi="Times New Roman" w:eastAsia="仿宋" w:cs="Times New Roman"/>
                <w:b/>
                <w:bCs/>
                <w:sz w:val="18"/>
                <w:szCs w:val="18"/>
              </w:rPr>
              <w:t>=8、重复</w:t>
            </w:r>
            <w:r>
              <w:rPr>
                <w:rFonts w:hint="default" w:ascii="Times New Roman" w:hAnsi="Times New Roman" w:eastAsia="仿宋" w:cs="Times New Roman"/>
                <w:b/>
                <w:bCs/>
                <w:i/>
                <w:iCs/>
                <w:sz w:val="18"/>
                <w:szCs w:val="18"/>
              </w:rPr>
              <w:t>m</w:t>
            </w:r>
            <w:r>
              <w:rPr>
                <w:rFonts w:hint="default" w:ascii="Times New Roman" w:hAnsi="Times New Roman" w:eastAsia="仿宋" w:cs="Times New Roman"/>
                <w:b/>
                <w:bCs/>
                <w:sz w:val="18"/>
                <w:szCs w:val="18"/>
              </w:rPr>
              <w:t>=3时</w:t>
            </w:r>
          </w:p>
        </w:tc>
      </w:tr>
      <w:tr w14:paraId="68B5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8" w:type="dxa"/>
            <w:vAlign w:val="center"/>
          </w:tcPr>
          <w:p w14:paraId="28FA40F4">
            <w:pPr>
              <w:tabs>
                <w:tab w:val="left" w:pos="761"/>
              </w:tabs>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500" w:type="dxa"/>
            <w:vAlign w:val="center"/>
          </w:tcPr>
          <w:p w14:paraId="1BE44678">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1890" w:type="dxa"/>
            <w:vAlign w:val="center"/>
          </w:tcPr>
          <w:p w14:paraId="5BC825A4">
            <w:pPr>
              <w:spacing w:line="276"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实验室</w:t>
            </w:r>
            <w:r>
              <w:rPr>
                <w:rFonts w:hint="eastAsia" w:ascii="Times New Roman" w:hAnsi="Times New Roman" w:eastAsia="宋体" w:cs="Times New Roman"/>
                <w:sz w:val="18"/>
                <w:szCs w:val="18"/>
                <w:lang w:val="en-US" w:eastAsia="zh-CN"/>
              </w:rPr>
              <w:t>8</w:t>
            </w:r>
          </w:p>
        </w:tc>
        <w:tc>
          <w:tcPr>
            <w:tcW w:w="1511" w:type="dxa"/>
            <w:vAlign w:val="center"/>
          </w:tcPr>
          <w:p w14:paraId="30A0BA2E">
            <w:pPr>
              <w:spacing w:line="276"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0.381</w:t>
            </w:r>
          </w:p>
        </w:tc>
        <w:tc>
          <w:tcPr>
            <w:tcW w:w="1245" w:type="dxa"/>
            <w:vMerge w:val="restart"/>
            <w:vAlign w:val="center"/>
          </w:tcPr>
          <w:p w14:paraId="79E88A54">
            <w:pPr>
              <w:spacing w:line="276" w:lineRule="auto"/>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0.516</w:t>
            </w:r>
          </w:p>
        </w:tc>
        <w:tc>
          <w:tcPr>
            <w:tcW w:w="1553" w:type="dxa"/>
            <w:vMerge w:val="restart"/>
            <w:vAlign w:val="center"/>
          </w:tcPr>
          <w:p w14:paraId="067EE36C">
            <w:pPr>
              <w:spacing w:line="276" w:lineRule="auto"/>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0.615</w:t>
            </w:r>
          </w:p>
        </w:tc>
      </w:tr>
      <w:tr w14:paraId="0A32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8" w:type="dxa"/>
            <w:vAlign w:val="center"/>
          </w:tcPr>
          <w:p w14:paraId="34D76182">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500" w:type="dxa"/>
            <w:vAlign w:val="center"/>
          </w:tcPr>
          <w:p w14:paraId="711DD9FD">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890" w:type="dxa"/>
            <w:vAlign w:val="center"/>
          </w:tcPr>
          <w:p w14:paraId="4FA9DC71">
            <w:pPr>
              <w:spacing w:line="276" w:lineRule="auto"/>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实验室</w:t>
            </w:r>
            <w:r>
              <w:rPr>
                <w:rFonts w:hint="eastAsia" w:cs="Times New Roman"/>
                <w:sz w:val="18"/>
                <w:szCs w:val="18"/>
                <w:lang w:val="en-US" w:eastAsia="zh-CN"/>
              </w:rPr>
              <w:t>8</w:t>
            </w:r>
          </w:p>
        </w:tc>
        <w:tc>
          <w:tcPr>
            <w:tcW w:w="1511" w:type="dxa"/>
            <w:vAlign w:val="center"/>
          </w:tcPr>
          <w:p w14:paraId="1743D506">
            <w:pPr>
              <w:spacing w:line="276"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0.347</w:t>
            </w:r>
          </w:p>
        </w:tc>
        <w:tc>
          <w:tcPr>
            <w:tcW w:w="1245" w:type="dxa"/>
            <w:vMerge w:val="continue"/>
            <w:vAlign w:val="center"/>
          </w:tcPr>
          <w:p w14:paraId="3404336D">
            <w:pPr>
              <w:spacing w:line="276" w:lineRule="auto"/>
              <w:ind w:firstLine="420"/>
              <w:jc w:val="left"/>
              <w:rPr>
                <w:rFonts w:eastAsia="仿宋"/>
                <w:szCs w:val="21"/>
              </w:rPr>
            </w:pPr>
          </w:p>
        </w:tc>
        <w:tc>
          <w:tcPr>
            <w:tcW w:w="1553" w:type="dxa"/>
            <w:vMerge w:val="continue"/>
            <w:vAlign w:val="center"/>
          </w:tcPr>
          <w:p w14:paraId="5FBA86C5">
            <w:pPr>
              <w:spacing w:line="276" w:lineRule="auto"/>
              <w:ind w:firstLine="640"/>
              <w:jc w:val="left"/>
              <w:rPr>
                <w:rFonts w:eastAsia="仿宋"/>
                <w:szCs w:val="21"/>
              </w:rPr>
            </w:pPr>
          </w:p>
        </w:tc>
      </w:tr>
      <w:tr w14:paraId="7572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8" w:type="dxa"/>
            <w:vAlign w:val="center"/>
          </w:tcPr>
          <w:p w14:paraId="3F81F490">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500" w:type="dxa"/>
            <w:vAlign w:val="center"/>
          </w:tcPr>
          <w:p w14:paraId="136DF3A2">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1890" w:type="dxa"/>
            <w:vAlign w:val="center"/>
          </w:tcPr>
          <w:p w14:paraId="6B59E32D">
            <w:pPr>
              <w:spacing w:line="276" w:lineRule="auto"/>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实验室</w:t>
            </w:r>
            <w:r>
              <w:rPr>
                <w:rFonts w:hint="eastAsia" w:cs="Times New Roman"/>
                <w:sz w:val="18"/>
                <w:szCs w:val="18"/>
                <w:lang w:val="en-US" w:eastAsia="zh-CN"/>
              </w:rPr>
              <w:t>8</w:t>
            </w:r>
          </w:p>
        </w:tc>
        <w:tc>
          <w:tcPr>
            <w:tcW w:w="1511" w:type="dxa"/>
            <w:vAlign w:val="center"/>
          </w:tcPr>
          <w:p w14:paraId="24F886F3">
            <w:pPr>
              <w:spacing w:line="276"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0.447</w:t>
            </w:r>
          </w:p>
        </w:tc>
        <w:tc>
          <w:tcPr>
            <w:tcW w:w="1245" w:type="dxa"/>
            <w:vMerge w:val="continue"/>
            <w:vAlign w:val="center"/>
          </w:tcPr>
          <w:p w14:paraId="720C2A60">
            <w:pPr>
              <w:spacing w:line="276" w:lineRule="auto"/>
              <w:ind w:firstLine="420"/>
              <w:jc w:val="left"/>
              <w:rPr>
                <w:rFonts w:eastAsia="仿宋"/>
                <w:szCs w:val="21"/>
              </w:rPr>
            </w:pPr>
          </w:p>
        </w:tc>
        <w:tc>
          <w:tcPr>
            <w:tcW w:w="1553" w:type="dxa"/>
            <w:vMerge w:val="continue"/>
            <w:vAlign w:val="center"/>
          </w:tcPr>
          <w:p w14:paraId="0FD83808">
            <w:pPr>
              <w:spacing w:line="276" w:lineRule="auto"/>
              <w:ind w:firstLine="640"/>
              <w:jc w:val="left"/>
              <w:rPr>
                <w:rFonts w:eastAsia="仿宋"/>
                <w:szCs w:val="21"/>
              </w:rPr>
            </w:pPr>
          </w:p>
        </w:tc>
      </w:tr>
      <w:tr w14:paraId="4DE1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8" w:type="dxa"/>
            <w:vAlign w:val="center"/>
          </w:tcPr>
          <w:p w14:paraId="61ADAB01">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500" w:type="dxa"/>
            <w:vAlign w:val="center"/>
          </w:tcPr>
          <w:p w14:paraId="5454935A">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1890" w:type="dxa"/>
            <w:vAlign w:val="center"/>
          </w:tcPr>
          <w:p w14:paraId="37A7BB3A">
            <w:pPr>
              <w:spacing w:line="276" w:lineRule="auto"/>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实验室</w:t>
            </w:r>
            <w:r>
              <w:rPr>
                <w:rFonts w:hint="eastAsia" w:cs="Times New Roman"/>
                <w:sz w:val="18"/>
                <w:szCs w:val="18"/>
                <w:lang w:val="en-US" w:eastAsia="zh-CN"/>
              </w:rPr>
              <w:t>5</w:t>
            </w:r>
          </w:p>
        </w:tc>
        <w:tc>
          <w:tcPr>
            <w:tcW w:w="1511" w:type="dxa"/>
            <w:vAlign w:val="center"/>
          </w:tcPr>
          <w:p w14:paraId="2C03356F">
            <w:pPr>
              <w:spacing w:line="276"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0.346</w:t>
            </w:r>
          </w:p>
        </w:tc>
        <w:tc>
          <w:tcPr>
            <w:tcW w:w="1245" w:type="dxa"/>
            <w:vMerge w:val="continue"/>
            <w:vAlign w:val="center"/>
          </w:tcPr>
          <w:p w14:paraId="486A27E2">
            <w:pPr>
              <w:spacing w:line="276" w:lineRule="auto"/>
              <w:ind w:firstLine="420"/>
              <w:jc w:val="left"/>
              <w:rPr>
                <w:rFonts w:eastAsia="仿宋"/>
                <w:szCs w:val="21"/>
              </w:rPr>
            </w:pPr>
          </w:p>
        </w:tc>
        <w:tc>
          <w:tcPr>
            <w:tcW w:w="1553" w:type="dxa"/>
            <w:vMerge w:val="continue"/>
            <w:vAlign w:val="center"/>
          </w:tcPr>
          <w:p w14:paraId="0B802FD8">
            <w:pPr>
              <w:spacing w:line="276" w:lineRule="auto"/>
              <w:ind w:firstLine="640"/>
              <w:jc w:val="left"/>
              <w:rPr>
                <w:rFonts w:eastAsia="仿宋"/>
                <w:szCs w:val="21"/>
              </w:rPr>
            </w:pPr>
          </w:p>
        </w:tc>
      </w:tr>
      <w:tr w14:paraId="7B85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8" w:type="dxa"/>
            <w:vAlign w:val="center"/>
          </w:tcPr>
          <w:p w14:paraId="25671CD3">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500" w:type="dxa"/>
            <w:vAlign w:val="center"/>
          </w:tcPr>
          <w:p w14:paraId="38650162">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0.1%</w:t>
            </w:r>
          </w:p>
        </w:tc>
        <w:tc>
          <w:tcPr>
            <w:tcW w:w="1890" w:type="dxa"/>
            <w:vAlign w:val="center"/>
          </w:tcPr>
          <w:p w14:paraId="6310CBCC">
            <w:pPr>
              <w:spacing w:line="276" w:lineRule="auto"/>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实验室</w:t>
            </w:r>
            <w:r>
              <w:rPr>
                <w:rFonts w:hint="eastAsia" w:cs="Times New Roman"/>
                <w:sz w:val="18"/>
                <w:szCs w:val="18"/>
                <w:lang w:val="en-US" w:eastAsia="zh-CN"/>
              </w:rPr>
              <w:t>8</w:t>
            </w:r>
          </w:p>
        </w:tc>
        <w:tc>
          <w:tcPr>
            <w:tcW w:w="1511" w:type="dxa"/>
            <w:vAlign w:val="center"/>
          </w:tcPr>
          <w:p w14:paraId="3BAA9F22">
            <w:pPr>
              <w:spacing w:line="276"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0.412</w:t>
            </w:r>
          </w:p>
        </w:tc>
        <w:tc>
          <w:tcPr>
            <w:tcW w:w="1245" w:type="dxa"/>
            <w:vMerge w:val="continue"/>
            <w:vAlign w:val="center"/>
          </w:tcPr>
          <w:p w14:paraId="70E6F100">
            <w:pPr>
              <w:spacing w:line="276" w:lineRule="auto"/>
              <w:ind w:firstLine="420"/>
              <w:jc w:val="left"/>
              <w:rPr>
                <w:rFonts w:eastAsia="仿宋"/>
                <w:szCs w:val="21"/>
              </w:rPr>
            </w:pPr>
          </w:p>
        </w:tc>
        <w:tc>
          <w:tcPr>
            <w:tcW w:w="1553" w:type="dxa"/>
            <w:vMerge w:val="continue"/>
            <w:vAlign w:val="center"/>
          </w:tcPr>
          <w:p w14:paraId="0B50AFEB">
            <w:pPr>
              <w:spacing w:line="276" w:lineRule="auto"/>
              <w:ind w:firstLine="640"/>
              <w:jc w:val="left"/>
              <w:rPr>
                <w:rFonts w:eastAsia="仿宋"/>
                <w:szCs w:val="21"/>
              </w:rPr>
            </w:pPr>
          </w:p>
        </w:tc>
      </w:tr>
    </w:tbl>
    <w:p w14:paraId="34FAB0F2">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sz w:val="18"/>
          <w:szCs w:val="18"/>
        </w:rPr>
      </w:pPr>
    </w:p>
    <w:p w14:paraId="5AB56095">
      <w:pPr>
        <w:keepNext w:val="0"/>
        <w:keepLines w:val="0"/>
        <w:pageBreakBefore w:val="0"/>
        <w:widowControl w:val="0"/>
        <w:kinsoku/>
        <w:wordWrap/>
        <w:overflowPunct/>
        <w:topLinePunct w:val="0"/>
        <w:autoSpaceDE/>
        <w:autoSpaceDN/>
        <w:bidi w:val="0"/>
        <w:adjustRightInd/>
        <w:snapToGrid/>
        <w:spacing w:line="312" w:lineRule="auto"/>
        <w:ind w:firstLine="641"/>
        <w:jc w:val="left"/>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科克伦检验结果表明（</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6），对5.0%、3.0%、1.0%、0.5%和0.1%的5个水平的样品，检验统计量值依次为：</w:t>
      </w:r>
      <w:r>
        <w:rPr>
          <w:rFonts w:hint="eastAsia" w:cs="Times New Roman"/>
          <w:sz w:val="18"/>
          <w:szCs w:val="18"/>
          <w:lang w:val="en-US" w:eastAsia="zh-CN"/>
        </w:rPr>
        <w:t>0.381</w:t>
      </w:r>
      <w:r>
        <w:rPr>
          <w:rFonts w:hint="default" w:ascii="Times New Roman" w:hAnsi="Times New Roman" w:eastAsia="宋体" w:cs="Times New Roman"/>
          <w:sz w:val="21"/>
          <w:szCs w:val="21"/>
        </w:rPr>
        <w:t>、</w:t>
      </w:r>
      <w:r>
        <w:rPr>
          <w:rFonts w:hint="eastAsia" w:ascii="Times New Roman" w:hAnsi="Times New Roman" w:eastAsia="宋体" w:cs="Times New Roman"/>
          <w:sz w:val="18"/>
          <w:szCs w:val="18"/>
          <w:lang w:val="en-US" w:eastAsia="zh-CN"/>
        </w:rPr>
        <w:t>0.347</w:t>
      </w:r>
      <w:r>
        <w:rPr>
          <w:rFonts w:hint="default" w:ascii="Times New Roman" w:hAnsi="Times New Roman" w:eastAsia="宋体" w:cs="Times New Roman"/>
          <w:sz w:val="21"/>
          <w:szCs w:val="21"/>
        </w:rPr>
        <w:t>、</w:t>
      </w:r>
      <w:r>
        <w:rPr>
          <w:rFonts w:hint="eastAsia" w:ascii="Times New Roman" w:hAnsi="Times New Roman" w:eastAsia="宋体" w:cs="Times New Roman"/>
          <w:sz w:val="18"/>
          <w:szCs w:val="18"/>
          <w:lang w:val="en-US" w:eastAsia="zh-CN"/>
        </w:rPr>
        <w:t>0.447</w:t>
      </w:r>
      <w:r>
        <w:rPr>
          <w:rFonts w:hint="default" w:ascii="Times New Roman" w:hAnsi="Times New Roman" w:eastAsia="宋体" w:cs="Times New Roman"/>
          <w:sz w:val="21"/>
          <w:szCs w:val="21"/>
        </w:rPr>
        <w:t>、</w:t>
      </w:r>
      <w:r>
        <w:rPr>
          <w:rFonts w:hint="eastAsia" w:ascii="Times New Roman" w:hAnsi="Times New Roman" w:eastAsia="宋体" w:cs="Times New Roman"/>
          <w:sz w:val="18"/>
          <w:szCs w:val="18"/>
          <w:lang w:val="en-US" w:eastAsia="zh-CN"/>
        </w:rPr>
        <w:t>0.346</w:t>
      </w:r>
      <w:r>
        <w:rPr>
          <w:rFonts w:hint="default" w:ascii="Times New Roman" w:hAnsi="Times New Roman" w:eastAsia="宋体" w:cs="Times New Roman"/>
          <w:sz w:val="21"/>
          <w:szCs w:val="21"/>
        </w:rPr>
        <w:t>和</w:t>
      </w:r>
      <w:r>
        <w:rPr>
          <w:rFonts w:hint="eastAsia" w:ascii="Times New Roman" w:hAnsi="Times New Roman" w:eastAsia="宋体" w:cs="Times New Roman"/>
          <w:sz w:val="18"/>
          <w:szCs w:val="18"/>
          <w:lang w:val="en-US" w:eastAsia="zh-CN"/>
        </w:rPr>
        <w:t>0.412</w:t>
      </w:r>
      <w:r>
        <w:rPr>
          <w:rFonts w:hint="default" w:ascii="Times New Roman" w:hAnsi="Times New Roman" w:eastAsia="宋体" w:cs="Times New Roman"/>
          <w:sz w:val="21"/>
          <w:szCs w:val="21"/>
        </w:rPr>
        <w:t>。当实验室个数p=8、子样个数m=3时，科克伦检验5%临界值为0.516；1%临界值为0.615。8家实验室对5个水平的样品，检验统计量小于5%临界值</w:t>
      </w:r>
      <w:r>
        <w:rPr>
          <w:rFonts w:hint="default" w:ascii="Times New Roman" w:hAnsi="Times New Roman" w:eastAsia="宋体" w:cs="Times New Roman"/>
          <w:sz w:val="21"/>
          <w:szCs w:val="21"/>
          <w:lang w:eastAsia="zh-CN"/>
        </w:rPr>
        <w:t>，</w:t>
      </w:r>
      <w:r>
        <w:rPr>
          <w:rFonts w:hint="eastAsia" w:cs="Times New Roman"/>
          <w:sz w:val="21"/>
          <w:szCs w:val="21"/>
          <w:lang w:eastAsia="zh-CN"/>
        </w:rPr>
        <w:t>均为有效数据，可以</w:t>
      </w:r>
      <w:r>
        <w:rPr>
          <w:rFonts w:hint="default" w:ascii="Times New Roman" w:hAnsi="Times New Roman" w:eastAsia="宋体" w:cs="Times New Roman"/>
          <w:sz w:val="21"/>
          <w:szCs w:val="21"/>
          <w:lang w:eastAsia="zh-CN"/>
        </w:rPr>
        <w:t>用于后续分析。</w:t>
      </w:r>
    </w:p>
    <w:p w14:paraId="01472074">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2.2.2.1.2 格拉布斯检验（异常平均值检验）</w:t>
      </w:r>
    </w:p>
    <w:p w14:paraId="14533031">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对每个含量样品，分别将各个实验室3个平行子样的平均值按大小升序排列（每个实验室3个平行子样平均，即8个实验室8个数据），检验最大平均值（</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60680" cy="293370"/>
            <wp:effectExtent l="0" t="0" r="1270" b="13335"/>
            <wp:docPr id="13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8"/>
                    <pic:cNvPicPr>
                      <a:picLocks noChangeAspect="1"/>
                    </pic:cNvPicPr>
                  </pic:nvPicPr>
                  <pic:blipFill>
                    <a:blip r:embed="rId73">
                      <a:clrChange>
                        <a:clrFrom>
                          <a:srgbClr val="FFFFFF"/>
                        </a:clrFrom>
                        <a:clrTo>
                          <a:srgbClr val="FFFFFF">
                            <a:alpha val="0"/>
                          </a:srgbClr>
                        </a:clrTo>
                      </a:clrChange>
                      <a:lum/>
                    </a:blip>
                    <a:stretch>
                      <a:fillRect/>
                    </a:stretch>
                  </pic:blipFill>
                  <pic:spPr>
                    <a:xfrm>
                      <a:off x="0" y="0"/>
                      <a:ext cx="36068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70840" cy="293370"/>
            <wp:effectExtent l="0" t="0" r="10160" b="13335"/>
            <wp:docPr id="1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9"/>
                    <pic:cNvPicPr>
                      <a:picLocks noChangeAspect="1"/>
                    </pic:cNvPicPr>
                  </pic:nvPicPr>
                  <pic:blipFill>
                    <a:blip r:embed="rId74">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drawing>
          <wp:inline distT="0" distB="0" distL="114300" distR="114300">
            <wp:extent cx="341630" cy="240665"/>
            <wp:effectExtent l="0" t="0" r="1270" b="5715"/>
            <wp:docPr id="1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0"/>
                    <pic:cNvPicPr>
                      <a:picLocks noChangeAspect="1"/>
                    </pic:cNvPicPr>
                  </pic:nvPicPr>
                  <pic:blipFill>
                    <a:blip r:embed="rId75">
                      <a:lum/>
                    </a:blip>
                    <a:stretch>
                      <a:fillRect/>
                    </a:stretch>
                  </pic:blipFill>
                  <pic:spPr>
                    <a:xfrm>
                      <a:off x="0" y="0"/>
                      <a:ext cx="341630" cy="24066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）和最小平均值（</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41630" cy="293370"/>
            <wp:effectExtent l="0" t="0" r="1270" b="13335"/>
            <wp:docPr id="13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1"/>
                    <pic:cNvPicPr>
                      <a:picLocks noChangeAspect="1"/>
                    </pic:cNvPicPr>
                  </pic:nvPicPr>
                  <pic:blipFill>
                    <a:blip r:embed="rId76">
                      <a:clrChange>
                        <a:clrFrom>
                          <a:srgbClr val="FFFFFF"/>
                        </a:clrFrom>
                        <a:clrTo>
                          <a:srgbClr val="FFFFFF">
                            <a:alpha val="0"/>
                          </a:srgbClr>
                        </a:clrTo>
                      </a:clrChange>
                      <a:lum/>
                    </a:blip>
                    <a:stretch>
                      <a:fillRect/>
                    </a:stretch>
                  </pic:blipFill>
                  <pic:spPr>
                    <a:xfrm>
                      <a:off x="0" y="0"/>
                      <a:ext cx="34163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60680" cy="293370"/>
            <wp:effectExtent l="0" t="0" r="1270" b="13335"/>
            <wp:docPr id="14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2"/>
                    <pic:cNvPicPr>
                      <a:picLocks noChangeAspect="1"/>
                    </pic:cNvPicPr>
                  </pic:nvPicPr>
                  <pic:blipFill>
                    <a:blip r:embed="rId73">
                      <a:clrChange>
                        <a:clrFrom>
                          <a:srgbClr val="FFFFFF"/>
                        </a:clrFrom>
                        <a:clrTo>
                          <a:srgbClr val="FFFFFF">
                            <a:alpha val="0"/>
                          </a:srgbClr>
                        </a:clrTo>
                      </a:clrChange>
                      <a:lum/>
                    </a:blip>
                    <a:stretch>
                      <a:fillRect/>
                    </a:stretch>
                  </pic:blipFill>
                  <pic:spPr>
                    <a:xfrm>
                      <a:off x="0" y="0"/>
                      <a:ext cx="36068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51155" cy="293370"/>
            <wp:effectExtent l="0" t="0" r="10795" b="13335"/>
            <wp:docPr id="14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3"/>
                    <pic:cNvPicPr>
                      <a:picLocks noChangeAspect="1"/>
                    </pic:cNvPicPr>
                  </pic:nvPicPr>
                  <pic:blipFill>
                    <a:blip r:embed="rId77">
                      <a:clrChange>
                        <a:clrFrom>
                          <a:srgbClr val="FFFFFF"/>
                        </a:clrFrom>
                        <a:clrTo>
                          <a:srgbClr val="FFFFFF">
                            <a:alpha val="0"/>
                          </a:srgbClr>
                        </a:clrTo>
                      </a:clrChange>
                      <a:lum/>
                    </a:blip>
                    <a:stretch>
                      <a:fillRect/>
                    </a:stretch>
                  </pic:blipFill>
                  <pic:spPr>
                    <a:xfrm>
                      <a:off x="0" y="0"/>
                      <a:ext cx="3511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drawing>
          <wp:inline distT="0" distB="0" distL="114300" distR="114300">
            <wp:extent cx="332105" cy="240665"/>
            <wp:effectExtent l="0" t="0" r="10795" b="5715"/>
            <wp:docPr id="14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4"/>
                    <pic:cNvPicPr>
                      <a:picLocks noChangeAspect="1"/>
                    </pic:cNvPicPr>
                  </pic:nvPicPr>
                  <pic:blipFill>
                    <a:blip r:embed="rId78">
                      <a:lum/>
                    </a:blip>
                    <a:stretch>
                      <a:fillRect/>
                    </a:stretch>
                  </pic:blipFill>
                  <pic:spPr>
                    <a:xfrm>
                      <a:off x="0" y="0"/>
                      <a:ext cx="332105" cy="24066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）是否为离群值。</w:t>
      </w:r>
    </w:p>
    <w:p w14:paraId="36FCF017">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计算j含量样品最大平均值格拉布斯检验统计量G</w:t>
      </w:r>
      <w:r>
        <w:rPr>
          <w:rFonts w:hint="default" w:ascii="Times New Roman" w:hAnsi="Times New Roman" w:eastAsia="宋体" w:cs="Times New Roman"/>
          <w:sz w:val="21"/>
          <w:szCs w:val="21"/>
          <w:vertAlign w:val="subscript"/>
        </w:rPr>
        <w:t>max, j</w:t>
      </w:r>
      <w:r>
        <w:rPr>
          <w:rFonts w:hint="default" w:ascii="Times New Roman" w:hAnsi="Times New Roman" w:eastAsia="宋体" w:cs="Times New Roman"/>
          <w:sz w:val="21"/>
          <w:szCs w:val="21"/>
        </w:rPr>
        <w:t>：</w:t>
      </w:r>
    </w:p>
    <w:p w14:paraId="54CFF5A4">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972820" cy="463550"/>
            <wp:effectExtent l="0" t="0" r="0" b="13335"/>
            <wp:docPr id="14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5"/>
                    <pic:cNvPicPr>
                      <a:picLocks noChangeAspect="1"/>
                    </pic:cNvPicPr>
                  </pic:nvPicPr>
                  <pic:blipFill>
                    <a:blip r:embed="rId79">
                      <a:lum/>
                    </a:blip>
                    <a:stretch>
                      <a:fillRect/>
                    </a:stretch>
                  </pic:blipFill>
                  <pic:spPr>
                    <a:xfrm>
                      <a:off x="0" y="0"/>
                      <a:ext cx="972820" cy="463550"/>
                    </a:xfrm>
                    <a:prstGeom prst="rect">
                      <a:avLst/>
                    </a:prstGeom>
                    <a:noFill/>
                    <a:ln>
                      <a:noFill/>
                    </a:ln>
                  </pic:spPr>
                </pic:pic>
              </a:graphicData>
            </a:graphic>
          </wp:inline>
        </w:drawing>
      </w:r>
      <w:r>
        <w:rPr>
          <w:rFonts w:hint="default" w:ascii="Times New Roman" w:hAnsi="Times New Roman" w:eastAsia="宋体" w:cs="Times New Roman"/>
          <w:sz w:val="21"/>
          <w:szCs w:val="21"/>
        </w:rPr>
        <w:t>…………………………（10）</w:t>
      </w:r>
    </w:p>
    <w:p w14:paraId="299659F8">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w:t>
      </w:r>
    </w:p>
    <w:p w14:paraId="4242B89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w:t>
      </w:r>
      <w:r>
        <w:rPr>
          <w:rFonts w:hint="default" w:ascii="Times New Roman" w:hAnsi="Times New Roman" w:eastAsia="宋体" w:cs="Times New Roman"/>
          <w:sz w:val="21"/>
          <w:szCs w:val="21"/>
          <w:vertAlign w:val="subscript"/>
        </w:rPr>
        <w:t>max, j</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60680" cy="293370"/>
            <wp:effectExtent l="0" t="0" r="1270" b="13335"/>
            <wp:docPr id="14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6"/>
                    <pic:cNvPicPr>
                      <a:picLocks noChangeAspect="1"/>
                    </pic:cNvPicPr>
                  </pic:nvPicPr>
                  <pic:blipFill>
                    <a:blip r:embed="rId73">
                      <a:clrChange>
                        <a:clrFrom>
                          <a:srgbClr val="FFFFFF"/>
                        </a:clrFrom>
                        <a:clrTo>
                          <a:srgbClr val="FFFFFF">
                            <a:alpha val="0"/>
                          </a:srgbClr>
                        </a:clrTo>
                      </a:clrChange>
                      <a:lum/>
                    </a:blip>
                    <a:stretch>
                      <a:fillRect/>
                    </a:stretch>
                  </pic:blipFill>
                  <pic:spPr>
                    <a:xfrm>
                      <a:off x="0" y="0"/>
                      <a:ext cx="36068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—第j水平最大平均值格拉布斯检验统计量；</w:t>
      </w:r>
    </w:p>
    <w:p w14:paraId="2CC604C9">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264795" cy="293370"/>
            <wp:effectExtent l="0" t="0" r="1905" b="0"/>
            <wp:docPr id="14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7"/>
                    <pic:cNvPicPr>
                      <a:picLocks noChangeAspect="1"/>
                    </pic:cNvPicPr>
                  </pic:nvPicPr>
                  <pic:blipFill>
                    <a:blip r:embed="rId80">
                      <a:clrChange>
                        <a:clrFrom>
                          <a:srgbClr val="FFFFFF"/>
                        </a:clrFrom>
                        <a:clrTo>
                          <a:srgbClr val="FFFFFF">
                            <a:alpha val="0"/>
                          </a:srgbClr>
                        </a:clrTo>
                      </a:clrChange>
                      <a:lum/>
                    </a:blip>
                    <a:stretch>
                      <a:fillRect/>
                    </a:stretch>
                  </pic:blipFill>
                  <pic:spPr>
                    <a:xfrm>
                      <a:off x="0" y="0"/>
                      <a:ext cx="26479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70840" cy="293370"/>
            <wp:effectExtent l="0" t="0" r="10160" b="13335"/>
            <wp:docPr id="14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8"/>
                    <pic:cNvPicPr>
                      <a:picLocks noChangeAspect="1"/>
                    </pic:cNvPicPr>
                  </pic:nvPicPr>
                  <pic:blipFill>
                    <a:blip r:embed="rId74">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60680" cy="293370"/>
            <wp:effectExtent l="0" t="0" r="1270" b="13335"/>
            <wp:docPr id="14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9"/>
                    <pic:cNvPicPr>
                      <a:picLocks noChangeAspect="1"/>
                    </pic:cNvPicPr>
                  </pic:nvPicPr>
                  <pic:blipFill>
                    <a:blip r:embed="rId73">
                      <a:clrChange>
                        <a:clrFrom>
                          <a:srgbClr val="FFFFFF"/>
                        </a:clrFrom>
                        <a:clrTo>
                          <a:srgbClr val="FFFFFF">
                            <a:alpha val="0"/>
                          </a:srgbClr>
                        </a:clrTo>
                      </a:clrChange>
                      <a:lum/>
                    </a:blip>
                    <a:stretch>
                      <a:fillRect/>
                    </a:stretch>
                  </pic:blipFill>
                  <pic:spPr>
                    <a:xfrm>
                      <a:off x="0" y="0"/>
                      <a:ext cx="36068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70840" cy="293370"/>
            <wp:effectExtent l="0" t="0" r="10160" b="13335"/>
            <wp:docPr id="14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0"/>
                    <pic:cNvPicPr>
                      <a:picLocks noChangeAspect="1"/>
                    </pic:cNvPicPr>
                  </pic:nvPicPr>
                  <pic:blipFill>
                    <a:blip r:embed="rId74">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drawing>
          <wp:inline distT="0" distB="0" distL="114300" distR="114300">
            <wp:extent cx="341630" cy="240665"/>
            <wp:effectExtent l="0" t="0" r="1270" b="5715"/>
            <wp:docPr id="14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1"/>
                    <pic:cNvPicPr>
                      <a:picLocks noChangeAspect="1"/>
                    </pic:cNvPicPr>
                  </pic:nvPicPr>
                  <pic:blipFill>
                    <a:blip r:embed="rId75">
                      <a:lum/>
                    </a:blip>
                    <a:stretch>
                      <a:fillRect/>
                    </a:stretch>
                  </pic:blipFill>
                  <pic:spPr>
                    <a:xfrm>
                      <a:off x="0" y="0"/>
                      <a:ext cx="341630" cy="24066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—第j水平每个实验室平均值，在8个实验室中选其平均值最大的1个。（相当于对每个实验室9个cijkl数据平均，选8个实验室值中最大的1个值）；</w:t>
      </w:r>
    </w:p>
    <w:p w14:paraId="0130F32C">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67310" cy="293370"/>
            <wp:effectExtent l="0" t="0" r="8890" b="0"/>
            <wp:docPr id="15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2"/>
                    <pic:cNvPicPr>
                      <a:picLocks noChangeAspect="1"/>
                    </pic:cNvPicPr>
                  </pic:nvPicPr>
                  <pic:blipFill>
                    <a:blip r:embed="rId49">
                      <a:clrChange>
                        <a:clrFrom>
                          <a:srgbClr val="FFFFFF"/>
                        </a:clrFrom>
                        <a:clrTo>
                          <a:srgbClr val="FFFFFF">
                            <a:alpha val="0"/>
                          </a:srgbClr>
                        </a:clrTo>
                      </a:clrChange>
                      <a:lum/>
                    </a:blip>
                    <a:stretch>
                      <a:fillRect/>
                    </a:stretch>
                  </pic:blipFill>
                  <pic:spPr>
                    <a:xfrm>
                      <a:off x="0" y="0"/>
                      <a:ext cx="6731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object>
          <v:shape id="_x0000_i1042" o:spt="75" type="#_x0000_t75" style="height:22.1pt;width:12.85pt;" o:ole="t" filled="f" o:preferrelative="t" stroked="f" coordsize="21600,21600">
            <v:path/>
            <v:fill on="f" focussize="0,0"/>
            <v:stroke on="f" joinstyle="miter"/>
            <v:imagedata r:id="rId82" o:title=""/>
            <o:lock v:ext="edit" aspectratio="t"/>
            <w10:wrap type="none"/>
            <w10:anchorlock/>
          </v:shape>
          <o:OLEObject Type="Embed" ProgID="Equation.3" ShapeID="_x0000_i1042" DrawAspect="Content" ObjectID="_1468075742" r:id="rId81">
            <o:LockedField>false</o:LockedField>
          </o:OLEObject>
        </w:objec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—第j水平8个实验室3个平行子样的总平均值（即24个结果的平均值）；</w:t>
      </w:r>
    </w:p>
    <w:p w14:paraId="49EA3734">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54305" cy="240665"/>
            <wp:effectExtent l="0" t="0" r="0" b="5080"/>
            <wp:docPr id="15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4"/>
                    <pic:cNvPicPr>
                      <a:picLocks noChangeAspect="1"/>
                    </pic:cNvPicPr>
                  </pic:nvPicPr>
                  <pic:blipFill>
                    <a:blip r:embed="rId83">
                      <a:lum/>
                    </a:blip>
                    <a:stretch>
                      <a:fillRect/>
                    </a:stretch>
                  </pic:blipFill>
                  <pic:spPr>
                    <a:xfrm>
                      <a:off x="0" y="0"/>
                      <a:ext cx="154305" cy="240665"/>
                    </a:xfrm>
                    <a:prstGeom prst="rect">
                      <a:avLst/>
                    </a:prstGeom>
                    <a:noFill/>
                    <a:ln>
                      <a:noFill/>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—第j水平8个实验室平均值的标准差，其中</w:t>
      </w:r>
      <w:r>
        <w:rPr>
          <w:rFonts w:hint="default" w:ascii="Times New Roman" w:hAnsi="Times New Roman" w:eastAsia="宋体" w:cs="Times New Roman"/>
          <w:sz w:val="21"/>
          <w:szCs w:val="21"/>
        </w:rPr>
        <w:drawing>
          <wp:inline distT="0" distB="0" distL="114300" distR="114300">
            <wp:extent cx="154305" cy="240665"/>
            <wp:effectExtent l="0" t="0" r="0" b="5080"/>
            <wp:docPr id="15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85"/>
                    <pic:cNvPicPr>
                      <a:picLocks noChangeAspect="1"/>
                    </pic:cNvPicPr>
                  </pic:nvPicPr>
                  <pic:blipFill>
                    <a:blip r:embed="rId83">
                      <a:lum/>
                    </a:blip>
                    <a:stretch>
                      <a:fillRect/>
                    </a:stretch>
                  </pic:blipFill>
                  <pic:spPr>
                    <a:xfrm>
                      <a:off x="0" y="0"/>
                      <a:ext cx="154305" cy="240665"/>
                    </a:xfrm>
                    <a:prstGeom prst="rect">
                      <a:avLst/>
                    </a:prstGeom>
                    <a:noFill/>
                    <a:ln>
                      <a:noFill/>
                    </a:ln>
                  </pic:spPr>
                </pic:pic>
              </a:graphicData>
            </a:graphic>
          </wp:inline>
        </w:drawing>
      </w:r>
      <w:r>
        <w:rPr>
          <w:rFonts w:hint="default" w:ascii="Times New Roman" w:hAnsi="Times New Roman" w:eastAsia="宋体" w:cs="Times New Roman"/>
          <w:sz w:val="21"/>
          <w:szCs w:val="21"/>
        </w:rPr>
        <w:t>依据下式计算。</w:t>
      </w:r>
    </w:p>
    <w:p w14:paraId="1E473C91">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object>
          <v:shape id="_x0000_i1043" o:spt="75" type="#_x0000_t75" style="height:26pt;width:104.75pt;" o:ole="t" filled="f" o:preferrelative="t" stroked="f" coordsize="21600,21600">
            <v:path/>
            <v:fill on="f" focussize="0,0"/>
            <v:stroke on="f"/>
            <v:imagedata r:id="rId85" o:title=""/>
            <o:lock v:ext="edit" aspectratio="t"/>
            <w10:wrap type="none"/>
            <w10:anchorlock/>
          </v:shape>
          <o:OLEObject Type="Embed" ProgID="Equation.3" ShapeID="_x0000_i1043" DrawAspect="Content" ObjectID="_1468075743" r:id="rId84">
            <o:LockedField>false</o:LockedField>
          </o:OLEObject>
        </w:object>
      </w:r>
      <w:r>
        <w:rPr>
          <w:rFonts w:hint="default" w:ascii="Times New Roman" w:hAnsi="Times New Roman" w:eastAsia="宋体" w:cs="Times New Roman"/>
          <w:sz w:val="21"/>
          <w:szCs w:val="21"/>
        </w:rPr>
        <w:t>…………………………（11）</w:t>
      </w:r>
    </w:p>
    <w:p w14:paraId="4A2B826C">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计算第j水平最小平均值格拉布斯检验统计量G</w:t>
      </w:r>
      <w:r>
        <w:rPr>
          <w:rFonts w:hint="default" w:ascii="Times New Roman" w:hAnsi="Times New Roman" w:eastAsia="宋体" w:cs="Times New Roman"/>
          <w:sz w:val="21"/>
          <w:szCs w:val="21"/>
          <w:vertAlign w:val="subscript"/>
        </w:rPr>
        <w:t>min,</w:t>
      </w:r>
      <w:r>
        <w:rPr>
          <w:rFonts w:hint="eastAsia" w:ascii="Times New Roman" w:hAnsi="Times New Roman" w:cs="Times New Roman"/>
          <w:sz w:val="21"/>
          <w:szCs w:val="21"/>
          <w:vertAlign w:val="subscript"/>
          <w:lang w:val="en-US" w:eastAsia="zh-CN"/>
        </w:rPr>
        <w:t xml:space="preserve"> </w:t>
      </w:r>
      <w:r>
        <w:rPr>
          <w:rFonts w:hint="default" w:ascii="Times New Roman" w:hAnsi="Times New Roman" w:eastAsia="宋体" w:cs="Times New Roman"/>
          <w:sz w:val="21"/>
          <w:szCs w:val="21"/>
          <w:vertAlign w:val="subscript"/>
        </w:rPr>
        <w:t>j</w:t>
      </w:r>
      <w:r>
        <w:rPr>
          <w:rFonts w:hint="default" w:ascii="Times New Roman" w:hAnsi="Times New Roman" w:eastAsia="宋体" w:cs="Times New Roman"/>
          <w:sz w:val="21"/>
          <w:szCs w:val="21"/>
        </w:rPr>
        <w:t>：</w:t>
      </w:r>
    </w:p>
    <w:p w14:paraId="1FF13957">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p>
    <w:p w14:paraId="771DCF82">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793750" cy="382270"/>
            <wp:effectExtent l="0" t="0" r="0" b="17780"/>
            <wp:docPr id="15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7"/>
                    <pic:cNvPicPr>
                      <a:picLocks noChangeAspect="1"/>
                    </pic:cNvPicPr>
                  </pic:nvPicPr>
                  <pic:blipFill>
                    <a:blip r:embed="rId86">
                      <a:lum/>
                    </a:blip>
                    <a:stretch>
                      <a:fillRect/>
                    </a:stretch>
                  </pic:blipFill>
                  <pic:spPr>
                    <a:xfrm>
                      <a:off x="0" y="0"/>
                      <a:ext cx="793750" cy="382270"/>
                    </a:xfrm>
                    <a:prstGeom prst="rect">
                      <a:avLst/>
                    </a:prstGeom>
                    <a:noFill/>
                    <a:ln>
                      <a:noFill/>
                    </a:ln>
                  </pic:spPr>
                </pic:pic>
              </a:graphicData>
            </a:graphic>
          </wp:inline>
        </w:drawing>
      </w:r>
      <w:r>
        <w:rPr>
          <w:rFonts w:hint="default" w:ascii="Times New Roman" w:hAnsi="Times New Roman" w:eastAsia="宋体" w:cs="Times New Roman"/>
          <w:sz w:val="21"/>
          <w:szCs w:val="21"/>
        </w:rPr>
        <w:t>…………………………（12）</w:t>
      </w:r>
    </w:p>
    <w:p w14:paraId="134A297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w:t>
      </w:r>
    </w:p>
    <w:p w14:paraId="4EB9F550">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41630" cy="293370"/>
            <wp:effectExtent l="0" t="0" r="1270" b="13335"/>
            <wp:docPr id="15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88"/>
                    <pic:cNvPicPr>
                      <a:picLocks noChangeAspect="1"/>
                    </pic:cNvPicPr>
                  </pic:nvPicPr>
                  <pic:blipFill>
                    <a:blip r:embed="rId76">
                      <a:clrChange>
                        <a:clrFrom>
                          <a:srgbClr val="FFFFFF"/>
                        </a:clrFrom>
                        <a:clrTo>
                          <a:srgbClr val="FFFFFF">
                            <a:alpha val="0"/>
                          </a:srgbClr>
                        </a:clrTo>
                      </a:clrChange>
                      <a:lum/>
                    </a:blip>
                    <a:stretch>
                      <a:fillRect/>
                    </a:stretch>
                  </pic:blipFill>
                  <pic:spPr>
                    <a:xfrm>
                      <a:off x="0" y="0"/>
                      <a:ext cx="34163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G</w:t>
      </w:r>
      <w:r>
        <w:rPr>
          <w:rFonts w:hint="default" w:ascii="Times New Roman" w:hAnsi="Times New Roman" w:eastAsia="宋体" w:cs="Times New Roman"/>
          <w:sz w:val="21"/>
          <w:szCs w:val="21"/>
          <w:vertAlign w:val="subscript"/>
        </w:rPr>
        <w:t>min,</w:t>
      </w:r>
      <w:r>
        <w:rPr>
          <w:rFonts w:hint="eastAsia" w:ascii="Times New Roman" w:hAnsi="Times New Roman" w:cs="Times New Roman"/>
          <w:sz w:val="21"/>
          <w:szCs w:val="21"/>
          <w:vertAlign w:val="subscript"/>
          <w:lang w:val="en-US" w:eastAsia="zh-CN"/>
        </w:rPr>
        <w:t xml:space="preserve"> </w:t>
      </w:r>
      <w:r>
        <w:rPr>
          <w:rFonts w:hint="default" w:ascii="Times New Roman" w:hAnsi="Times New Roman" w:eastAsia="宋体" w:cs="Times New Roman"/>
          <w:sz w:val="21"/>
          <w:szCs w:val="21"/>
          <w:vertAlign w:val="subscript"/>
        </w:rPr>
        <w:t>j</w:t>
      </w:r>
      <w:r>
        <w:rPr>
          <w:rFonts w:hint="default" w:ascii="Times New Roman" w:hAnsi="Times New Roman" w:eastAsia="宋体" w:cs="Times New Roman"/>
          <w:sz w:val="21"/>
          <w:szCs w:val="21"/>
        </w:rPr>
        <w:fldChar w:fldCharType="end"/>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—第j水平最小平均值格拉布斯检验统计量；</w:t>
      </w:r>
    </w:p>
    <w:p w14:paraId="63B58120">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245745" cy="293370"/>
            <wp:effectExtent l="0" t="0" r="1905" b="0"/>
            <wp:docPr id="15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9"/>
                    <pic:cNvPicPr>
                      <a:picLocks noChangeAspect="1"/>
                    </pic:cNvPicPr>
                  </pic:nvPicPr>
                  <pic:blipFill>
                    <a:blip r:embed="rId87">
                      <a:clrChange>
                        <a:clrFrom>
                          <a:srgbClr val="FFFFFF"/>
                        </a:clrFrom>
                        <a:clrTo>
                          <a:srgbClr val="FFFFFF">
                            <a:alpha val="0"/>
                          </a:srgbClr>
                        </a:clrTo>
                      </a:clrChange>
                      <a:lum/>
                    </a:blip>
                    <a:stretch>
                      <a:fillRect/>
                    </a:stretch>
                  </pic:blipFill>
                  <pic:spPr>
                    <a:xfrm>
                      <a:off x="0" y="0"/>
                      <a:ext cx="24574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13055" cy="293370"/>
            <wp:effectExtent l="0" t="0" r="10795" b="13335"/>
            <wp:docPr id="15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0"/>
                    <pic:cNvPicPr>
                      <a:picLocks noChangeAspect="1"/>
                    </pic:cNvPicPr>
                  </pic:nvPicPr>
                  <pic:blipFill>
                    <a:blip r:embed="rId88">
                      <a:clrChange>
                        <a:clrFrom>
                          <a:srgbClr val="FFFFFF"/>
                        </a:clrFrom>
                        <a:clrTo>
                          <a:srgbClr val="FFFFFF">
                            <a:alpha val="0"/>
                          </a:srgbClr>
                        </a:clrTo>
                      </a:clrChange>
                      <a:lum/>
                    </a:blip>
                    <a:stretch>
                      <a:fillRect/>
                    </a:stretch>
                  </pic:blipFill>
                  <pic:spPr>
                    <a:xfrm>
                      <a:off x="0" y="0"/>
                      <a:ext cx="3130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drawing>
          <wp:inline distT="0" distB="0" distL="114300" distR="114300">
            <wp:extent cx="300990" cy="228600"/>
            <wp:effectExtent l="0" t="0" r="3810" b="0"/>
            <wp:docPr id="15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1"/>
                    <pic:cNvPicPr>
                      <a:picLocks noChangeAspect="1"/>
                    </pic:cNvPicPr>
                  </pic:nvPicPr>
                  <pic:blipFill>
                    <a:blip r:embed="rId89">
                      <a:lum/>
                    </a:blip>
                    <a:stretch>
                      <a:fillRect/>
                    </a:stretch>
                  </pic:blipFill>
                  <pic:spPr>
                    <a:xfrm>
                      <a:off x="0" y="0"/>
                      <a:ext cx="300990" cy="22860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—第j水平每个实验室平均值中被选中最小的值；</w:t>
      </w:r>
    </w:p>
    <w:p w14:paraId="4ECFD42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67310" cy="293370"/>
            <wp:effectExtent l="0" t="0" r="8890" b="0"/>
            <wp:docPr id="15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2"/>
                    <pic:cNvPicPr>
                      <a:picLocks noChangeAspect="1"/>
                    </pic:cNvPicPr>
                  </pic:nvPicPr>
                  <pic:blipFill>
                    <a:blip r:embed="rId49">
                      <a:clrChange>
                        <a:clrFrom>
                          <a:srgbClr val="FFFFFF"/>
                        </a:clrFrom>
                        <a:clrTo>
                          <a:srgbClr val="FFFFFF">
                            <a:alpha val="0"/>
                          </a:srgbClr>
                        </a:clrTo>
                      </a:clrChange>
                      <a:lum/>
                    </a:blip>
                    <a:stretch>
                      <a:fillRect/>
                    </a:stretch>
                  </pic:blipFill>
                  <pic:spPr>
                    <a:xfrm>
                      <a:off x="0" y="0"/>
                      <a:ext cx="6731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object>
          <v:shape id="_x0000_i1044" o:spt="75" type="#_x0000_t75" style="height:22.1pt;width:11.05pt;" o:ole="t" filled="f" o:preferrelative="t" stroked="f" coordsize="21600,21600">
            <v:path/>
            <v:fill on="f" focussize="0,0"/>
            <v:stroke on="f"/>
            <v:imagedata r:id="rId91" o:title=""/>
            <o:lock v:ext="edit" aspectratio="t"/>
            <w10:wrap type="none"/>
            <w10:anchorlock/>
          </v:shape>
          <o:OLEObject Type="Embed" ProgID="Equation.3" ShapeID="_x0000_i1044" DrawAspect="Content" ObjectID="_1468075744" r:id="rId90">
            <o:LockedField>false</o:LockedField>
          </o:OLEObject>
        </w:objec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—第j水平8个实验室总平均值；</w:t>
      </w:r>
    </w:p>
    <w:p w14:paraId="096F216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drawing>
          <wp:inline distT="0" distB="0" distL="114300" distR="114300">
            <wp:extent cx="154305" cy="240665"/>
            <wp:effectExtent l="0" t="0" r="0" b="5080"/>
            <wp:docPr id="15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4"/>
                    <pic:cNvPicPr>
                      <a:picLocks noChangeAspect="1"/>
                    </pic:cNvPicPr>
                  </pic:nvPicPr>
                  <pic:blipFill>
                    <a:blip r:embed="rId92">
                      <a:lum/>
                    </a:blip>
                    <a:stretch>
                      <a:fillRect/>
                    </a:stretch>
                  </pic:blipFill>
                  <pic:spPr>
                    <a:xfrm>
                      <a:off x="0" y="0"/>
                      <a:ext cx="154305" cy="240665"/>
                    </a:xfrm>
                    <a:prstGeom prst="rect">
                      <a:avLst/>
                    </a:prstGeom>
                    <a:noFill/>
                    <a:ln>
                      <a:noFill/>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—第j水平8个实验室平均值的标准差。</w:t>
      </w:r>
    </w:p>
    <w:p w14:paraId="0657B4F0">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eastAsia="仿宋"/>
          <w:sz w:val="32"/>
          <w:szCs w:val="32"/>
          <w:highlight w:val="none"/>
        </w:rPr>
      </w:pPr>
      <w:r>
        <w:rPr>
          <w:rFonts w:hint="default" w:ascii="Times New Roman" w:hAnsi="Times New Roman" w:eastAsia="宋体" w:cs="Times New Roman"/>
          <w:sz w:val="21"/>
          <w:szCs w:val="21"/>
          <w:highlight w:val="none"/>
        </w:rPr>
        <w:t>格拉布斯检验表明（</w:t>
      </w:r>
      <w:r>
        <w:rPr>
          <w:rFonts w:hint="eastAsia" w:cs="Times New Roman"/>
          <w:sz w:val="21"/>
          <w:szCs w:val="21"/>
          <w:highlight w:val="none"/>
          <w:lang w:eastAsia="zh-CN"/>
        </w:rPr>
        <w:t>表</w:t>
      </w:r>
      <w:r>
        <w:rPr>
          <w:rFonts w:hint="eastAsia" w:cs="Times New Roman"/>
          <w:sz w:val="21"/>
          <w:szCs w:val="21"/>
          <w:highlight w:val="none"/>
          <w:lang w:val="en-US" w:eastAsia="zh-CN"/>
        </w:rPr>
        <w:t>3</w:t>
      </w:r>
      <w:r>
        <w:rPr>
          <w:rFonts w:hint="eastAsia" w:cs="Times New Roman"/>
          <w:sz w:val="21"/>
          <w:szCs w:val="21"/>
          <w:highlight w:val="none"/>
          <w:lang w:eastAsia="zh-CN"/>
        </w:rPr>
        <w:t>-</w:t>
      </w:r>
      <w:r>
        <w:rPr>
          <w:rFonts w:hint="eastAsia" w:ascii="Times New Roman" w:hAnsi="Times New Roman" w:eastAsia="宋体" w:cs="Times New Roman"/>
          <w:sz w:val="21"/>
          <w:szCs w:val="21"/>
          <w:highlight w:val="none"/>
        </w:rPr>
        <w:t>7</w:t>
      </w:r>
      <w:r>
        <w:rPr>
          <w:rFonts w:hint="default" w:ascii="Times New Roman" w:hAnsi="Times New Roman" w:eastAsia="宋体" w:cs="Times New Roman"/>
          <w:sz w:val="21"/>
          <w:szCs w:val="21"/>
          <w:highlight w:val="none"/>
        </w:rPr>
        <w:t>），对5.0%、3.0%、1.0%、0.5%和0.1%的5个水平样品，最大平均值格拉布斯检验统计量依次为：</w:t>
      </w:r>
      <w:r>
        <w:rPr>
          <w:rFonts w:hint="eastAsia" w:ascii="Times New Roman" w:hAnsi="Times New Roman" w:eastAsia="宋体" w:cs="Times New Roman"/>
          <w:sz w:val="21"/>
          <w:szCs w:val="21"/>
          <w:highlight w:val="none"/>
          <w:lang w:val="en-US" w:eastAsia="zh-CN"/>
        </w:rPr>
        <w:t>1.407</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1.294</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1.296</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1.051</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1.590</w:t>
      </w:r>
      <w:r>
        <w:rPr>
          <w:rFonts w:hint="default" w:ascii="Times New Roman" w:hAnsi="Times New Roman" w:eastAsia="宋体" w:cs="Times New Roman"/>
          <w:sz w:val="21"/>
          <w:szCs w:val="21"/>
          <w:highlight w:val="none"/>
        </w:rPr>
        <w:t>；最小平均值格拉布斯检验统计量依次为：</w:t>
      </w:r>
      <w:r>
        <w:rPr>
          <w:rFonts w:hint="eastAsia" w:ascii="Times New Roman" w:hAnsi="Times New Roman" w:eastAsia="宋体" w:cs="Times New Roman"/>
          <w:sz w:val="21"/>
          <w:szCs w:val="21"/>
          <w:highlight w:val="none"/>
          <w:lang w:val="en-US" w:eastAsia="zh-CN"/>
        </w:rPr>
        <w:t>2.022</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1.923</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1.286</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1.563</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1.729</w:t>
      </w:r>
      <w:r>
        <w:rPr>
          <w:rFonts w:hint="default" w:ascii="Times New Roman" w:hAnsi="Times New Roman" w:eastAsia="宋体" w:cs="Times New Roman"/>
          <w:sz w:val="21"/>
          <w:szCs w:val="21"/>
          <w:highlight w:val="none"/>
        </w:rPr>
        <w:t>。当实验室个数p=8、子样个数m=3时，格拉布斯检验5%临界值为2.126，1%临界值为2.274。对5个含量样品，最大平均值格拉布斯检验统计量和最小平均值格拉布斯检验统计量均小于格拉布斯检验5%临界值2.126，表明8个实验室数据无离群值或岐离值。</w:t>
      </w:r>
    </w:p>
    <w:p w14:paraId="54E2EBD3">
      <w:pPr>
        <w:pStyle w:val="8"/>
        <w:keepNext/>
        <w:bidi w:val="0"/>
        <w:spacing w:line="240" w:lineRule="auto"/>
        <w:ind w:firstLine="0" w:firstLineChars="0"/>
        <w:jc w:val="center"/>
        <w:rPr>
          <w:rFonts w:ascii="Times New Roman" w:hAnsi="Times New Roman" w:eastAsia="黑体" w:cs="Calibri"/>
          <w:sz w:val="18"/>
          <w:szCs w:val="22"/>
        </w:rPr>
      </w:pPr>
      <w:r>
        <w:rPr>
          <w:rFonts w:hint="eastAsia" w:ascii="Times New Roman" w:hAnsi="Times New Roman" w:eastAsia="黑体" w:cs="Calibri"/>
          <w:sz w:val="18"/>
          <w:szCs w:val="22"/>
          <w:lang w:eastAsia="zh-CN"/>
        </w:rPr>
        <w:t>表</w:t>
      </w:r>
      <w:r>
        <w:rPr>
          <w:rFonts w:hint="eastAsia" w:ascii="Times New Roman" w:hAnsi="Times New Roman" w:eastAsia="黑体" w:cs="Calibri"/>
          <w:sz w:val="18"/>
          <w:szCs w:val="22"/>
          <w:lang w:val="en-US" w:eastAsia="zh-CN"/>
        </w:rPr>
        <w:t>3</w:t>
      </w:r>
      <w:r>
        <w:rPr>
          <w:rFonts w:hint="eastAsia" w:ascii="Times New Roman" w:hAnsi="Times New Roman" w:eastAsia="黑体" w:cs="Calibri"/>
          <w:sz w:val="18"/>
          <w:szCs w:val="22"/>
          <w:lang w:eastAsia="zh-CN"/>
        </w:rPr>
        <w:t>-</w:t>
      </w:r>
      <w:r>
        <w:rPr>
          <w:rFonts w:hint="eastAsia" w:ascii="Times New Roman" w:hAnsi="Times New Roman" w:eastAsia="黑体" w:cs="Calibri"/>
          <w:sz w:val="18"/>
          <w:szCs w:val="22"/>
        </w:rPr>
        <w:t>7</w:t>
      </w:r>
      <w:r>
        <w:rPr>
          <w:rFonts w:ascii="Times New Roman" w:hAnsi="Times New Roman" w:eastAsia="黑体" w:cs="Calibri"/>
          <w:sz w:val="18"/>
          <w:szCs w:val="22"/>
        </w:rPr>
        <w:t xml:space="preserve"> 各含量样品格拉布斯检验</w:t>
      </w:r>
    </w:p>
    <w:tbl>
      <w:tblPr>
        <w:tblStyle w:val="16"/>
        <w:tblW w:w="14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510"/>
        <w:gridCol w:w="1257"/>
        <w:gridCol w:w="1257"/>
        <w:gridCol w:w="1631"/>
        <w:gridCol w:w="1257"/>
      </w:tblGrid>
      <w:tr w14:paraId="4F5E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6" w:type="dxa"/>
            <w:vMerge w:val="restart"/>
            <w:vAlign w:val="center"/>
          </w:tcPr>
          <w:p w14:paraId="4A03D151">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序号</w:t>
            </w:r>
          </w:p>
        </w:tc>
        <w:tc>
          <w:tcPr>
            <w:tcW w:w="1510" w:type="dxa"/>
            <w:vMerge w:val="restart"/>
            <w:vAlign w:val="center"/>
          </w:tcPr>
          <w:p w14:paraId="5039AE08">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样品含量标称值</w:t>
            </w:r>
          </w:p>
        </w:tc>
        <w:tc>
          <w:tcPr>
            <w:tcW w:w="2514" w:type="dxa"/>
            <w:gridSpan w:val="2"/>
            <w:vAlign w:val="center"/>
          </w:tcPr>
          <w:p w14:paraId="3FDB3091">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格拉布斯检验统计量</w:t>
            </w:r>
          </w:p>
        </w:tc>
        <w:tc>
          <w:tcPr>
            <w:tcW w:w="1631" w:type="dxa"/>
            <w:vAlign w:val="center"/>
          </w:tcPr>
          <w:p w14:paraId="56E8D9DE">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5%临界值</w:t>
            </w:r>
          </w:p>
        </w:tc>
        <w:tc>
          <w:tcPr>
            <w:tcW w:w="1257" w:type="dxa"/>
            <w:vAlign w:val="center"/>
          </w:tcPr>
          <w:p w14:paraId="56AE78BE">
            <w:pPr>
              <w:spacing w:line="276" w:lineRule="auto"/>
              <w:jc w:val="left"/>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1%临界值</w:t>
            </w:r>
          </w:p>
        </w:tc>
      </w:tr>
      <w:tr w14:paraId="5AB2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6" w:type="dxa"/>
            <w:vMerge w:val="continue"/>
            <w:vAlign w:val="center"/>
          </w:tcPr>
          <w:p w14:paraId="337CB75F">
            <w:pPr>
              <w:spacing w:line="276" w:lineRule="auto"/>
              <w:jc w:val="center"/>
              <w:rPr>
                <w:rFonts w:hint="default" w:ascii="Times New Roman" w:hAnsi="Times New Roman" w:eastAsia="宋体" w:cs="Times New Roman"/>
                <w:b/>
                <w:bCs/>
                <w:sz w:val="18"/>
                <w:szCs w:val="18"/>
              </w:rPr>
            </w:pPr>
          </w:p>
        </w:tc>
        <w:tc>
          <w:tcPr>
            <w:tcW w:w="1510" w:type="dxa"/>
            <w:vMerge w:val="continue"/>
            <w:vAlign w:val="center"/>
          </w:tcPr>
          <w:p w14:paraId="0F925A2B">
            <w:pPr>
              <w:spacing w:line="276" w:lineRule="auto"/>
              <w:jc w:val="center"/>
              <w:rPr>
                <w:rFonts w:hint="default" w:ascii="Times New Roman" w:hAnsi="Times New Roman" w:eastAsia="宋体" w:cs="Times New Roman"/>
                <w:b/>
                <w:bCs/>
                <w:sz w:val="18"/>
                <w:szCs w:val="18"/>
              </w:rPr>
            </w:pPr>
          </w:p>
        </w:tc>
        <w:tc>
          <w:tcPr>
            <w:tcW w:w="1257" w:type="dxa"/>
            <w:vAlign w:val="center"/>
          </w:tcPr>
          <w:p w14:paraId="03DDEA76">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sz w:val="18"/>
                <w:szCs w:val="18"/>
              </w:rPr>
              <w:t>G</w:t>
            </w:r>
            <w:r>
              <w:rPr>
                <w:rFonts w:hint="default" w:ascii="Times New Roman" w:hAnsi="Times New Roman" w:eastAsia="宋体" w:cs="Times New Roman"/>
                <w:b/>
                <w:bCs/>
                <w:sz w:val="18"/>
                <w:szCs w:val="18"/>
                <w:vertAlign w:val="subscript"/>
              </w:rPr>
              <w:t>max, j</w:t>
            </w:r>
          </w:p>
        </w:tc>
        <w:tc>
          <w:tcPr>
            <w:tcW w:w="1257" w:type="dxa"/>
            <w:vAlign w:val="center"/>
          </w:tcPr>
          <w:p w14:paraId="452BB01F">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fldChar w:fldCharType="begin"/>
            </w:r>
            <w:r>
              <w:rPr>
                <w:rFonts w:hint="default" w:ascii="Times New Roman" w:hAnsi="Times New Roman" w:eastAsia="宋体" w:cs="Times New Roman"/>
                <w:b/>
                <w:bCs/>
                <w:sz w:val="18"/>
                <w:szCs w:val="18"/>
              </w:rPr>
              <w:instrText xml:space="preserve"> QUOTE </w:instrText>
            </w:r>
            <w:r>
              <w:rPr>
                <w:rFonts w:hint="default" w:ascii="Times New Roman" w:hAnsi="Times New Roman" w:eastAsia="宋体" w:cs="Times New Roman"/>
                <w:b/>
                <w:bCs/>
                <w:sz w:val="18"/>
                <w:szCs w:val="18"/>
              </w:rPr>
              <w:drawing>
                <wp:inline distT="0" distB="0" distL="114300" distR="114300">
                  <wp:extent cx="342900" cy="295275"/>
                  <wp:effectExtent l="0" t="0" r="0"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76">
                            <a:clrChange>
                              <a:clrFrom>
                                <a:srgbClr val="FFFFFF"/>
                              </a:clrFrom>
                              <a:clrTo>
                                <a:srgbClr val="FFFFFF">
                                  <a:alpha val="0"/>
                                </a:srgbClr>
                              </a:clrTo>
                            </a:clrChange>
                            <a:lum/>
                          </a:blip>
                          <a:stretch>
                            <a:fillRect/>
                          </a:stretch>
                        </pic:blipFill>
                        <pic:spPr>
                          <a:xfrm>
                            <a:off x="0" y="0"/>
                            <a:ext cx="342900" cy="295275"/>
                          </a:xfrm>
                          <a:prstGeom prst="rect">
                            <a:avLst/>
                          </a:prstGeom>
                          <a:noFill/>
                          <a:ln>
                            <a:noFill/>
                          </a:ln>
                        </pic:spPr>
                      </pic:pic>
                    </a:graphicData>
                  </a:graphic>
                </wp:inline>
              </w:drawing>
            </w:r>
            <w:r>
              <w:rPr>
                <w:rFonts w:hint="default" w:ascii="Times New Roman" w:hAnsi="Times New Roman" w:eastAsia="宋体" w:cs="Times New Roman"/>
                <w:b/>
                <w:bCs/>
                <w:sz w:val="18"/>
                <w:szCs w:val="18"/>
              </w:rPr>
              <w:fldChar w:fldCharType="separate"/>
            </w:r>
            <w:r>
              <w:rPr>
                <w:rFonts w:hint="default" w:ascii="Times New Roman" w:hAnsi="Times New Roman" w:eastAsia="宋体" w:cs="Times New Roman"/>
                <w:b/>
                <w:bCs/>
                <w:i/>
                <w:iCs/>
                <w:sz w:val="18"/>
                <w:szCs w:val="18"/>
              </w:rPr>
              <w:t>G</w:t>
            </w:r>
            <w:r>
              <w:rPr>
                <w:rFonts w:hint="default" w:ascii="Times New Roman" w:hAnsi="Times New Roman" w:eastAsia="宋体" w:cs="Times New Roman"/>
                <w:b/>
                <w:bCs/>
                <w:sz w:val="18"/>
                <w:szCs w:val="18"/>
                <w:vertAlign w:val="subscript"/>
              </w:rPr>
              <w:t>min,j</w:t>
            </w:r>
            <w:r>
              <w:rPr>
                <w:rFonts w:hint="default" w:ascii="Times New Roman" w:hAnsi="Times New Roman" w:eastAsia="宋体" w:cs="Times New Roman"/>
                <w:b/>
                <w:bCs/>
                <w:sz w:val="18"/>
                <w:szCs w:val="18"/>
              </w:rPr>
              <w:fldChar w:fldCharType="end"/>
            </w:r>
          </w:p>
        </w:tc>
        <w:tc>
          <w:tcPr>
            <w:tcW w:w="2888" w:type="dxa"/>
            <w:gridSpan w:val="2"/>
            <w:vAlign w:val="center"/>
          </w:tcPr>
          <w:p w14:paraId="7D6AB3B7">
            <w:pPr>
              <w:spacing w:line="276"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实验室</w:t>
            </w:r>
            <w:r>
              <w:rPr>
                <w:rFonts w:hint="default" w:ascii="Times New Roman" w:hAnsi="Times New Roman" w:eastAsia="宋体" w:cs="Times New Roman"/>
                <w:b/>
                <w:bCs/>
                <w:i/>
                <w:iCs/>
                <w:sz w:val="18"/>
                <w:szCs w:val="18"/>
              </w:rPr>
              <w:t>p</w:t>
            </w:r>
            <w:r>
              <w:rPr>
                <w:rFonts w:hint="default" w:ascii="Times New Roman" w:hAnsi="Times New Roman" w:eastAsia="宋体" w:cs="Times New Roman"/>
                <w:b/>
                <w:bCs/>
                <w:sz w:val="18"/>
                <w:szCs w:val="18"/>
              </w:rPr>
              <w:t>=8、子样</w:t>
            </w: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sz w:val="18"/>
                <w:szCs w:val="18"/>
              </w:rPr>
              <w:t>=3时</w:t>
            </w:r>
          </w:p>
        </w:tc>
      </w:tr>
      <w:tr w14:paraId="02E5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6" w:type="dxa"/>
            <w:vAlign w:val="center"/>
          </w:tcPr>
          <w:p w14:paraId="767E8BD7">
            <w:pPr>
              <w:tabs>
                <w:tab w:val="left" w:pos="761"/>
              </w:tabs>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510" w:type="dxa"/>
            <w:vAlign w:val="center"/>
          </w:tcPr>
          <w:p w14:paraId="4F7FC5DB">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1257" w:type="dxa"/>
            <w:vAlign w:val="center"/>
          </w:tcPr>
          <w:p w14:paraId="63DD0C09">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1.407</w:t>
            </w:r>
          </w:p>
        </w:tc>
        <w:tc>
          <w:tcPr>
            <w:tcW w:w="1257" w:type="dxa"/>
            <w:vAlign w:val="center"/>
          </w:tcPr>
          <w:p w14:paraId="3C3F4E19">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2.022</w:t>
            </w:r>
          </w:p>
        </w:tc>
        <w:tc>
          <w:tcPr>
            <w:tcW w:w="1631" w:type="dxa"/>
            <w:vMerge w:val="restart"/>
            <w:vAlign w:val="center"/>
          </w:tcPr>
          <w:p w14:paraId="249EEC50">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2.126</w:t>
            </w:r>
          </w:p>
        </w:tc>
        <w:tc>
          <w:tcPr>
            <w:tcW w:w="1257" w:type="dxa"/>
            <w:vMerge w:val="restart"/>
            <w:vAlign w:val="center"/>
          </w:tcPr>
          <w:p w14:paraId="0D76A2F3">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2.274</w:t>
            </w:r>
          </w:p>
        </w:tc>
      </w:tr>
      <w:tr w14:paraId="4795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6" w:type="dxa"/>
            <w:vAlign w:val="center"/>
          </w:tcPr>
          <w:p w14:paraId="2BBC83C2">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510" w:type="dxa"/>
            <w:vAlign w:val="center"/>
          </w:tcPr>
          <w:p w14:paraId="237F92B0">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257" w:type="dxa"/>
            <w:vAlign w:val="center"/>
          </w:tcPr>
          <w:p w14:paraId="48FBB493">
            <w:pPr>
              <w:spacing w:line="276" w:lineRule="auto"/>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lang w:val="en-US" w:eastAsia="zh-CN"/>
              </w:rPr>
              <w:t>1.294</w:t>
            </w:r>
          </w:p>
        </w:tc>
        <w:tc>
          <w:tcPr>
            <w:tcW w:w="1257" w:type="dxa"/>
            <w:vAlign w:val="center"/>
          </w:tcPr>
          <w:p w14:paraId="254BCEC1">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1.923</w:t>
            </w:r>
          </w:p>
        </w:tc>
        <w:tc>
          <w:tcPr>
            <w:tcW w:w="1631" w:type="dxa"/>
            <w:vMerge w:val="continue"/>
            <w:vAlign w:val="center"/>
          </w:tcPr>
          <w:p w14:paraId="5DCFF414">
            <w:pPr>
              <w:spacing w:line="276" w:lineRule="auto"/>
              <w:ind w:firstLine="420"/>
              <w:jc w:val="left"/>
              <w:rPr>
                <w:rFonts w:eastAsia="仿宋"/>
                <w:szCs w:val="21"/>
              </w:rPr>
            </w:pPr>
          </w:p>
        </w:tc>
        <w:tc>
          <w:tcPr>
            <w:tcW w:w="1257" w:type="dxa"/>
            <w:vMerge w:val="continue"/>
            <w:vAlign w:val="center"/>
          </w:tcPr>
          <w:p w14:paraId="58119273">
            <w:pPr>
              <w:spacing w:line="276" w:lineRule="auto"/>
              <w:ind w:firstLine="640"/>
              <w:jc w:val="left"/>
              <w:rPr>
                <w:rFonts w:eastAsia="仿宋"/>
                <w:szCs w:val="21"/>
              </w:rPr>
            </w:pPr>
          </w:p>
        </w:tc>
      </w:tr>
      <w:tr w14:paraId="3124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6" w:type="dxa"/>
            <w:vAlign w:val="center"/>
          </w:tcPr>
          <w:p w14:paraId="1200AFEA">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510" w:type="dxa"/>
            <w:vAlign w:val="center"/>
          </w:tcPr>
          <w:p w14:paraId="479D5E04">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1257" w:type="dxa"/>
            <w:vAlign w:val="center"/>
          </w:tcPr>
          <w:p w14:paraId="6F464F83">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1.296</w:t>
            </w:r>
          </w:p>
        </w:tc>
        <w:tc>
          <w:tcPr>
            <w:tcW w:w="1257" w:type="dxa"/>
            <w:vAlign w:val="center"/>
          </w:tcPr>
          <w:p w14:paraId="141ABC2D">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1.286</w:t>
            </w:r>
          </w:p>
        </w:tc>
        <w:tc>
          <w:tcPr>
            <w:tcW w:w="1631" w:type="dxa"/>
            <w:vMerge w:val="continue"/>
            <w:vAlign w:val="center"/>
          </w:tcPr>
          <w:p w14:paraId="2BF4E7F5">
            <w:pPr>
              <w:spacing w:line="276" w:lineRule="auto"/>
              <w:ind w:firstLine="420"/>
              <w:jc w:val="left"/>
              <w:rPr>
                <w:rFonts w:eastAsia="仿宋"/>
                <w:szCs w:val="21"/>
              </w:rPr>
            </w:pPr>
          </w:p>
        </w:tc>
        <w:tc>
          <w:tcPr>
            <w:tcW w:w="1257" w:type="dxa"/>
            <w:vMerge w:val="continue"/>
            <w:vAlign w:val="center"/>
          </w:tcPr>
          <w:p w14:paraId="16A7C68E">
            <w:pPr>
              <w:spacing w:line="276" w:lineRule="auto"/>
              <w:ind w:firstLine="640"/>
              <w:jc w:val="left"/>
              <w:rPr>
                <w:rFonts w:eastAsia="仿宋"/>
                <w:szCs w:val="21"/>
              </w:rPr>
            </w:pPr>
          </w:p>
        </w:tc>
      </w:tr>
      <w:tr w14:paraId="5087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6" w:type="dxa"/>
            <w:vAlign w:val="center"/>
          </w:tcPr>
          <w:p w14:paraId="4CDD6E0F">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510" w:type="dxa"/>
            <w:vAlign w:val="center"/>
          </w:tcPr>
          <w:p w14:paraId="0A9154C9">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1257" w:type="dxa"/>
            <w:vAlign w:val="center"/>
          </w:tcPr>
          <w:p w14:paraId="66DD619A">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1.051</w:t>
            </w:r>
          </w:p>
        </w:tc>
        <w:tc>
          <w:tcPr>
            <w:tcW w:w="1257" w:type="dxa"/>
            <w:vAlign w:val="center"/>
          </w:tcPr>
          <w:p w14:paraId="0370A879">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1.563</w:t>
            </w:r>
          </w:p>
        </w:tc>
        <w:tc>
          <w:tcPr>
            <w:tcW w:w="1631" w:type="dxa"/>
            <w:vMerge w:val="continue"/>
            <w:vAlign w:val="center"/>
          </w:tcPr>
          <w:p w14:paraId="7AD5420C">
            <w:pPr>
              <w:spacing w:line="276" w:lineRule="auto"/>
              <w:ind w:firstLine="420"/>
              <w:jc w:val="left"/>
              <w:rPr>
                <w:rFonts w:eastAsia="仿宋"/>
                <w:szCs w:val="21"/>
              </w:rPr>
            </w:pPr>
          </w:p>
        </w:tc>
        <w:tc>
          <w:tcPr>
            <w:tcW w:w="1257" w:type="dxa"/>
            <w:vMerge w:val="continue"/>
            <w:vAlign w:val="center"/>
          </w:tcPr>
          <w:p w14:paraId="4D638474">
            <w:pPr>
              <w:spacing w:line="276" w:lineRule="auto"/>
              <w:ind w:firstLine="640"/>
              <w:jc w:val="left"/>
              <w:rPr>
                <w:rFonts w:eastAsia="仿宋"/>
                <w:szCs w:val="21"/>
              </w:rPr>
            </w:pPr>
          </w:p>
        </w:tc>
      </w:tr>
      <w:tr w14:paraId="580E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6" w:type="dxa"/>
            <w:vAlign w:val="center"/>
          </w:tcPr>
          <w:p w14:paraId="1F5C0A3C">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510" w:type="dxa"/>
            <w:vAlign w:val="center"/>
          </w:tcPr>
          <w:p w14:paraId="18838DE6">
            <w:pPr>
              <w:spacing w:line="276"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0.1%</w:t>
            </w:r>
          </w:p>
        </w:tc>
        <w:tc>
          <w:tcPr>
            <w:tcW w:w="1257" w:type="dxa"/>
            <w:vAlign w:val="center"/>
          </w:tcPr>
          <w:p w14:paraId="30A259C6">
            <w:pPr>
              <w:spacing w:line="276" w:lineRule="auto"/>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lang w:val="en-US" w:eastAsia="zh-CN"/>
              </w:rPr>
              <w:t>1.590</w:t>
            </w:r>
          </w:p>
        </w:tc>
        <w:tc>
          <w:tcPr>
            <w:tcW w:w="1257" w:type="dxa"/>
            <w:vAlign w:val="center"/>
          </w:tcPr>
          <w:p w14:paraId="7BAA09B2">
            <w:pPr>
              <w:spacing w:line="276" w:lineRule="auto"/>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 xml:space="preserve">1.729 </w:t>
            </w:r>
          </w:p>
        </w:tc>
        <w:tc>
          <w:tcPr>
            <w:tcW w:w="1631" w:type="dxa"/>
            <w:vMerge w:val="continue"/>
            <w:vAlign w:val="center"/>
          </w:tcPr>
          <w:p w14:paraId="04B52A83">
            <w:pPr>
              <w:spacing w:line="276" w:lineRule="auto"/>
              <w:ind w:firstLine="420"/>
              <w:jc w:val="left"/>
              <w:rPr>
                <w:rFonts w:eastAsia="仿宋"/>
                <w:szCs w:val="21"/>
              </w:rPr>
            </w:pPr>
          </w:p>
        </w:tc>
        <w:tc>
          <w:tcPr>
            <w:tcW w:w="1257" w:type="dxa"/>
            <w:vMerge w:val="continue"/>
            <w:vAlign w:val="center"/>
          </w:tcPr>
          <w:p w14:paraId="2CF6185C">
            <w:pPr>
              <w:spacing w:line="276" w:lineRule="auto"/>
              <w:ind w:firstLine="640"/>
              <w:jc w:val="left"/>
              <w:rPr>
                <w:rFonts w:eastAsia="仿宋"/>
                <w:szCs w:val="21"/>
              </w:rPr>
            </w:pPr>
          </w:p>
        </w:tc>
      </w:tr>
    </w:tbl>
    <w:p w14:paraId="110E13CD">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p>
    <w:p w14:paraId="1AF8601C">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2.2.2.2 实验室有效检测数据统计</w:t>
      </w:r>
    </w:p>
    <w:p w14:paraId="4814BB88">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经科克伦检验和格拉布斯检验后，8个实验室的数据均为有效数据。根据</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数据，统计汇总8个实验室对5个含量样品3个平行子样的检测结果，计算8个实验室检测结果的总平均值分别为</w:t>
      </w:r>
      <w:r>
        <w:rPr>
          <w:rFonts w:hint="eastAsia" w:ascii="Times New Roman" w:hAnsi="Times New Roman" w:eastAsia="宋体" w:cs="Times New Roman"/>
          <w:sz w:val="21"/>
          <w:szCs w:val="21"/>
          <w:lang w:val="en-US" w:eastAsia="zh-CN"/>
        </w:rPr>
        <w:t>5.070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3.067</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0.955</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0.544</w:t>
      </w:r>
      <w:r>
        <w:rPr>
          <w:rFonts w:hint="default" w:ascii="Times New Roman" w:hAnsi="Times New Roman" w:eastAsia="宋体" w:cs="Times New Roman"/>
          <w:sz w:val="21"/>
          <w:szCs w:val="21"/>
        </w:rPr>
        <w:t>和</w:t>
      </w:r>
      <w:r>
        <w:rPr>
          <w:rFonts w:hint="eastAsia" w:ascii="Times New Roman" w:hAnsi="Times New Roman" w:eastAsia="宋体" w:cs="Times New Roman"/>
          <w:sz w:val="21"/>
          <w:szCs w:val="21"/>
          <w:lang w:val="en-US" w:eastAsia="zh-CN"/>
        </w:rPr>
        <w:t>0.107</w:t>
      </w:r>
      <w:r>
        <w:rPr>
          <w:rFonts w:hint="default" w:ascii="Times New Roman" w:hAnsi="Times New Roman" w:eastAsia="宋体" w:cs="Times New Roman"/>
          <w:sz w:val="21"/>
          <w:szCs w:val="21"/>
        </w:rPr>
        <w:t>。（详见</w:t>
      </w:r>
      <w:r>
        <w:rPr>
          <w:rFonts w:hint="eastAsia" w:ascii="Times New Roman" w:hAnsi="Times New Roman" w:eastAsia="宋体" w:cs="Times New Roman"/>
          <w:sz w:val="21"/>
          <w:szCs w:val="21"/>
          <w:lang w:eastAsia="zh-CN"/>
        </w:rPr>
        <w:t>表</w:t>
      </w:r>
      <w:r>
        <w:rPr>
          <w:rFonts w:hint="eastAsia" w:cs="Times New Roman"/>
          <w:sz w:val="21"/>
          <w:szCs w:val="21"/>
          <w:lang w:val="en-US" w:eastAsia="zh-CN"/>
        </w:rPr>
        <w:t>3</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p>
    <w:p w14:paraId="41E656FD">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 准确度分析方法和结果</w:t>
      </w:r>
    </w:p>
    <w:p w14:paraId="5789C944">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 精密度（重复性和再现性）分析方法和结果</w:t>
      </w:r>
    </w:p>
    <w:p w14:paraId="369E0ED7">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2.3.1.1 精密度分析方法</w:t>
      </w:r>
    </w:p>
    <w:p w14:paraId="7700B2B1">
      <w:pPr>
        <w:spacing w:line="312" w:lineRule="auto"/>
        <w:ind w:firstLine="640"/>
        <w:jc w:val="left"/>
        <w:rPr>
          <w:rFonts w:eastAsia="仿宋"/>
          <w:sz w:val="32"/>
          <w:szCs w:val="32"/>
        </w:rPr>
      </w:pPr>
      <w:r>
        <w:rPr>
          <w:rFonts w:hint="default" w:ascii="Times New Roman" w:hAnsi="Times New Roman" w:eastAsia="宋体" w:cs="Times New Roman"/>
          <w:sz w:val="21"/>
          <w:szCs w:val="21"/>
        </w:rPr>
        <w:t>根据GB/T6379.2—2004</w:t>
      </w:r>
      <w:r>
        <w:rPr>
          <w:rFonts w:hint="eastAsia" w:ascii="Times New Roman" w:hAnsi="Times New Roman" w:eastAsia="宋体" w:cs="Times New Roman"/>
          <w:sz w:val="21"/>
          <w:szCs w:val="21"/>
          <w:vertAlign w:val="superscript"/>
          <w:lang w:val="en-US" w:eastAsia="zh-CN"/>
        </w:rPr>
        <w:t>[8]</w:t>
      </w:r>
      <w:r>
        <w:rPr>
          <w:rFonts w:hint="default" w:ascii="Times New Roman" w:hAnsi="Times New Roman" w:eastAsia="宋体" w:cs="Times New Roman"/>
          <w:sz w:val="21"/>
          <w:szCs w:val="21"/>
        </w:rPr>
        <w:t>，对有效检测数据进行统计，分析方法的重复性和再现性。可分2种情况进行分析：一是理想情况下，即各实验室各含量样品子样个数相等(相当于重复测量次数相等)，如：m</w:t>
      </w:r>
      <w:r>
        <w:rPr>
          <w:rFonts w:hint="default" w:ascii="Times New Roman" w:hAnsi="Times New Roman" w:eastAsia="宋体" w:cs="Times New Roman"/>
          <w:sz w:val="21"/>
          <w:szCs w:val="21"/>
          <w:vertAlign w:val="subscript"/>
        </w:rPr>
        <w:t>ij</w:t>
      </w:r>
      <w:r>
        <w:rPr>
          <w:rFonts w:hint="default" w:ascii="Times New Roman" w:hAnsi="Times New Roman" w:eastAsia="宋体" w:cs="Times New Roman"/>
          <w:sz w:val="21"/>
          <w:szCs w:val="21"/>
        </w:rPr>
        <w:t>=3，则根据下面“</w:t>
      </w: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3.1.1.1”的步骤分析精密度；二是无论各实验室重复次数</w:t>
      </w:r>
      <w:r>
        <w:rPr>
          <w:rFonts w:hint="default" w:ascii="Times New Roman" w:hAnsi="Times New Roman" w:eastAsia="宋体" w:cs="Times New Roman"/>
          <w:sz w:val="21"/>
          <w:szCs w:val="21"/>
        </w:rPr>
        <w:object>
          <v:shape id="_x0000_i1045" o:spt="75" type="#_x0000_t75" style="height:18.9pt;width:17.8pt;" o:ole="t" filled="f" o:preferrelative="t" stroked="f" coordsize="21600,21600">
            <v:path/>
            <v:fill on="f" focussize="0,0"/>
            <v:stroke on="f" joinstyle="miter"/>
            <v:imagedata r:id="rId94" o:title=""/>
            <o:lock v:ext="edit" aspectratio="t"/>
            <w10:wrap type="none"/>
            <w10:anchorlock/>
          </v:shape>
          <o:OLEObject Type="Embed" ProgID="Equation.3" ShapeID="_x0000_i1045" DrawAspect="Content" ObjectID="_1468075745" r:id="rId93">
            <o:LockedField>false</o:LockedField>
          </o:OLEObject>
        </w:object>
      </w:r>
      <w:r>
        <w:rPr>
          <w:rFonts w:hint="default" w:ascii="Times New Roman" w:hAnsi="Times New Roman" w:eastAsia="宋体" w:cs="Times New Roman"/>
          <w:sz w:val="21"/>
          <w:szCs w:val="21"/>
        </w:rPr>
        <w:t>是否相等，均可根据下面“</w:t>
      </w: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3.1.1.2”步骤的扩展通用公式，按5个统计量进行简便计算。</w:t>
      </w:r>
    </w:p>
    <w:p w14:paraId="1B10C24B">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2.3.1.1.1 理想情况下精密度分析方法的推导</w:t>
      </w:r>
    </w:p>
    <w:p w14:paraId="7D55D61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pPr>
      <w:r>
        <w:t>第</w:t>
      </w:r>
      <w:r>
        <w:rPr>
          <w:i/>
          <w:iCs/>
        </w:rPr>
        <w:t>j</w:t>
      </w:r>
      <w:r>
        <w:t>个水平下，第</w:t>
      </w:r>
      <w:r>
        <w:rPr>
          <w:i/>
          <w:iCs/>
        </w:rPr>
        <w:t>i</w:t>
      </w:r>
      <w:r>
        <w:t>个实验室的第</w:t>
      </w:r>
      <w:r>
        <w:rPr>
          <w:i/>
          <w:iCs/>
        </w:rPr>
        <w:t>l</w:t>
      </w:r>
      <w:r>
        <w:t>个子样检测平均值（3次重复PCR的平均值）记为</w:t>
      </w:r>
      <m:oMath>
        <m:acc>
          <m:accPr>
            <m:chr m:val="̅"/>
            <m:ctrlPr>
              <w:rPr>
                <w:rFonts w:ascii="Cambria Math" w:hAnsi="Cambria Math"/>
                <w:i/>
                <w:lang w:val="en-US"/>
              </w:rPr>
            </m:ctrlPr>
          </m:accPr>
          <m:e>
            <m:r>
              <m:rPr/>
              <w:rPr>
                <w:rFonts w:hint="default" w:ascii="Cambria Math" w:hAnsi="Cambria Math"/>
                <w:lang w:val="en-US" w:eastAsia="zh-CN"/>
              </w:rPr>
              <m:t>C</m:t>
            </m:r>
            <m:ctrlPr>
              <w:rPr>
                <w:rFonts w:ascii="Cambria Math" w:hAnsi="Cambria Math"/>
                <w:i/>
                <w:lang w:val="en-US"/>
              </w:rPr>
            </m:ctrlPr>
          </m:e>
        </m:acc>
      </m:oMath>
      <w:r>
        <w:rPr>
          <w:rFonts w:hint="eastAsia"/>
          <w:i/>
          <w:iCs/>
          <w:vertAlign w:val="subscript"/>
          <w:lang w:val="en-US" w:eastAsia="zh-CN"/>
        </w:rPr>
        <w:t>ijl</w:t>
      </w:r>
      <w:r>
        <w:t>，当理想情况（各实验室平行子样个数</w:t>
      </w:r>
      <w:r>
        <w:rPr>
          <w:rFonts w:hint="eastAsia"/>
          <w:i/>
          <w:iCs/>
          <w:lang w:val="en-US" w:eastAsia="zh-CN"/>
        </w:rPr>
        <w:t>m</w:t>
      </w:r>
      <w:r>
        <w:rPr>
          <w:rFonts w:hint="eastAsia"/>
          <w:i/>
          <w:iCs/>
          <w:vertAlign w:val="subscript"/>
          <w:lang w:val="en-US" w:eastAsia="zh-CN"/>
        </w:rPr>
        <w:t>ij</w:t>
      </w:r>
      <w:r>
        <w:t>均相等，相当于重复次数相等，</w:t>
      </w:r>
      <w:r>
        <w:rPr>
          <w:i/>
          <w:iCs/>
        </w:rPr>
        <w:t>m</w:t>
      </w:r>
      <w:r>
        <w:t>=3），</w:t>
      </w:r>
      <w:r>
        <w:rPr>
          <w:i/>
          <w:iCs/>
        </w:rPr>
        <w:t>p</w:t>
      </w:r>
      <w:r>
        <w:t>个实验室，共有</w:t>
      </w:r>
      <w:r>
        <w:rPr>
          <w:i/>
          <w:iCs/>
        </w:rPr>
        <w:t>pm</w:t>
      </w:r>
      <w:r>
        <w:t>次重复值。对这</w:t>
      </w:r>
      <w:r>
        <w:rPr>
          <w:i/>
          <w:iCs/>
        </w:rPr>
        <w:t>pm</w:t>
      </w:r>
      <w:r>
        <w:t>次重复值可以按以下步骤统计重复性方差</w:t>
      </w:r>
      <w:r>
        <w:rPr>
          <w:rFonts w:ascii="Times New Roman" w:hAnsi="Times New Roman" w:eastAsia="仿宋" w:cs="Times New Roman"/>
          <w:position w:val="-14"/>
        </w:rPr>
        <w:object>
          <v:shape id="_x0000_i1046" o:spt="75" type="#_x0000_t75" style="height:19.55pt;width:15.2pt;" o:ole="t" filled="f" o:preferrelative="t" stroked="f" coordsize="21600,21600">
            <v:path/>
            <v:fill on="f" focussize="0,0"/>
            <v:stroke on="f"/>
            <v:imagedata r:id="rId96" o:title=""/>
            <o:lock v:ext="edit" aspectratio="t"/>
            <w10:wrap type="none"/>
            <w10:anchorlock/>
          </v:shape>
          <o:OLEObject Type="Embed" ProgID="Equation.3" ShapeID="_x0000_i1046" DrawAspect="Content" ObjectID="_1468075746" r:id="rId95">
            <o:LockedField>false</o:LockedField>
          </o:OLEObject>
        </w:object>
      </w:r>
      <w:r>
        <w:t>、实验室间方差</w:t>
      </w:r>
      <w:r>
        <w:rPr>
          <w:rFonts w:ascii="Times New Roman" w:hAnsi="Times New Roman" w:eastAsia="仿宋" w:cs="Times New Roman"/>
          <w:position w:val="-14"/>
        </w:rPr>
        <w:object>
          <v:shape id="_x0000_i1047" o:spt="75" type="#_x0000_t75" style="height:19.55pt;width:17.65pt;" o:ole="t" filled="f" o:preferrelative="t" stroked="f" coordsize="21600,21600">
            <v:path/>
            <v:fill on="f" focussize="0,0"/>
            <v:stroke on="f" joinstyle="miter"/>
            <v:imagedata r:id="rId98" o:title=""/>
            <o:lock v:ext="edit" aspectratio="t"/>
            <w10:wrap type="none"/>
            <w10:anchorlock/>
          </v:shape>
          <o:OLEObject Type="Embed" ProgID="Equation.3" ShapeID="_x0000_i1047" DrawAspect="Content" ObjectID="_1468075747" r:id="rId97">
            <o:LockedField>false</o:LockedField>
          </o:OLEObject>
        </w:object>
      </w:r>
      <w:r>
        <w:t>和再现性方差</w:t>
      </w:r>
      <w:r>
        <w:drawing>
          <wp:inline distT="0" distB="0" distL="114300" distR="114300">
            <wp:extent cx="226060" cy="256540"/>
            <wp:effectExtent l="0" t="0" r="2540" b="12065"/>
            <wp:docPr id="16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02"/>
                    <pic:cNvPicPr>
                      <a:picLocks noChangeAspect="1"/>
                    </pic:cNvPicPr>
                  </pic:nvPicPr>
                  <pic:blipFill>
                    <a:blip r:embed="rId99">
                      <a:lum/>
                    </a:blip>
                    <a:stretch>
                      <a:fillRect/>
                    </a:stretch>
                  </pic:blipFill>
                  <pic:spPr>
                    <a:xfrm>
                      <a:off x="0" y="0"/>
                      <a:ext cx="226060" cy="256540"/>
                    </a:xfrm>
                    <a:prstGeom prst="rect">
                      <a:avLst/>
                    </a:prstGeom>
                    <a:noFill/>
                    <a:ln>
                      <a:noFill/>
                    </a:ln>
                  </pic:spPr>
                </pic:pic>
              </a:graphicData>
            </a:graphic>
          </wp:inline>
        </w:drawing>
      </w:r>
      <w:r>
        <w:t>。</w:t>
      </w:r>
    </w:p>
    <w:p w14:paraId="785A9058">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（1）平方和（</w:t>
      </w:r>
      <w:r>
        <w:rPr>
          <w:rFonts w:hint="default" w:ascii="Times New Roman" w:hAnsi="Times New Roman" w:eastAsia="宋体" w:cs="Times New Roman"/>
          <w:b/>
          <w:bCs/>
          <w:i/>
          <w:sz w:val="21"/>
          <w:szCs w:val="21"/>
        </w:rPr>
        <w:t>Sum of Square,SS</w:t>
      </w:r>
      <w:r>
        <w:rPr>
          <w:rFonts w:hint="default" w:ascii="Times New Roman" w:hAnsi="Times New Roman" w:eastAsia="宋体" w:cs="Times New Roman"/>
          <w:b/>
          <w:bCs/>
          <w:sz w:val="21"/>
          <w:szCs w:val="21"/>
        </w:rPr>
        <w:t>）与自由度（</w:t>
      </w:r>
      <w:r>
        <w:rPr>
          <w:rFonts w:hint="default" w:ascii="Times New Roman" w:hAnsi="Times New Roman" w:eastAsia="宋体" w:cs="Times New Roman"/>
          <w:b/>
          <w:bCs/>
          <w:i/>
          <w:sz w:val="21"/>
          <w:szCs w:val="21"/>
        </w:rPr>
        <w:t>degree of freedom ，df</w:t>
      </w:r>
      <w:r>
        <w:rPr>
          <w:rFonts w:hint="default" w:ascii="Times New Roman" w:hAnsi="Times New Roman" w:eastAsia="宋体" w:cs="Times New Roman"/>
          <w:b/>
          <w:bCs/>
          <w:sz w:val="21"/>
          <w:szCs w:val="21"/>
        </w:rPr>
        <w:t>）的剖分</w:t>
      </w:r>
    </w:p>
    <w:p w14:paraId="5923360B">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方差分析中，平方和以及自由度是可以线性剖分的，即总平方和</w:t>
      </w:r>
      <w:r>
        <w:rPr>
          <w:rFonts w:hint="default" w:ascii="Times New Roman" w:hAnsi="Times New Roman" w:eastAsia="宋体" w:cs="Times New Roman"/>
          <w:position w:val="-10"/>
          <w:sz w:val="21"/>
          <w:szCs w:val="21"/>
        </w:rPr>
        <w:object>
          <v:shape id="_x0000_i1048" o:spt="75" type="#_x0000_t75" style="height:18.2pt;width:21.05pt;" o:ole="t" filled="f" o:preferrelative="t" stroked="f" coordsize="21600,21600">
            <v:path/>
            <v:fill on="f" focussize="0,0"/>
            <v:stroke on="f" joinstyle="miter"/>
            <v:imagedata r:id="rId101" o:title=""/>
            <o:lock v:ext="edit" aspectratio="t"/>
            <w10:wrap type="none"/>
            <w10:anchorlock/>
          </v:shape>
          <o:OLEObject Type="Embed" ProgID="Equation.3" ShapeID="_x0000_i1048" DrawAspect="Content" ObjectID="_1468075748" r:id="rId100">
            <o:LockedField>false</o:LockedField>
          </o:OLEObject>
        </w:object>
      </w:r>
      <w:r>
        <w:rPr>
          <w:rFonts w:hint="default" w:ascii="Times New Roman" w:hAnsi="Times New Roman" w:eastAsia="宋体" w:cs="Times New Roman"/>
          <w:sz w:val="21"/>
          <w:szCs w:val="21"/>
        </w:rPr>
        <w:t>可以剖分成实验室间（组间）平方和</w:t>
      </w:r>
      <w:r>
        <w:rPr>
          <w:rFonts w:hint="default" w:ascii="Times New Roman" w:hAnsi="Times New Roman" w:eastAsia="宋体" w:cs="Times New Roman"/>
          <w:position w:val="-10"/>
          <w:sz w:val="21"/>
          <w:szCs w:val="21"/>
        </w:rPr>
        <w:object>
          <v:shape id="_x0000_i1049" o:spt="75" type="#_x0000_t75" style="height:17.1pt;width:21.05pt;" o:ole="t" filled="f" o:preferrelative="t" stroked="f" coordsize="21600,21600">
            <v:path/>
            <v:fill on="f" focussize="0,0"/>
            <v:stroke on="f" joinstyle="miter"/>
            <v:imagedata r:id="rId103" o:title=""/>
            <o:lock v:ext="edit" aspectratio="t"/>
            <w10:wrap type="none"/>
            <w10:anchorlock/>
          </v:shape>
          <o:OLEObject Type="Embed" ProgID="Equation.3" ShapeID="_x0000_i1049" DrawAspect="Content" ObjectID="_1468075749" r:id="rId102">
            <o:LockedField>false</o:LockedField>
          </o:OLEObject>
        </w:object>
      </w:r>
      <w:r>
        <w:rPr>
          <w:rFonts w:hint="default" w:ascii="Times New Roman" w:hAnsi="Times New Roman" w:eastAsia="宋体" w:cs="Times New Roman"/>
          <w:sz w:val="21"/>
          <w:szCs w:val="21"/>
        </w:rPr>
        <w:t>以及实验室内（组内）平方和</w:t>
      </w:r>
      <w:r>
        <w:rPr>
          <w:rFonts w:hint="default" w:ascii="Times New Roman" w:hAnsi="Times New Roman" w:eastAsia="宋体" w:cs="Times New Roman"/>
          <w:position w:val="-10"/>
          <w:sz w:val="21"/>
          <w:szCs w:val="21"/>
        </w:rPr>
        <w:object>
          <v:shape id="_x0000_i1050" o:spt="75" type="#_x0000_t75" style="height:18.2pt;width:19.95pt;" o:ole="t" filled="f" o:preferrelative="t" stroked="f" coordsize="21600,21600">
            <v:path/>
            <v:fill on="f" focussize="0,0"/>
            <v:stroke on="f" joinstyle="miter"/>
            <v:imagedata r:id="rId105" o:title=""/>
            <o:lock v:ext="edit" aspectratio="t"/>
            <w10:wrap type="none"/>
            <w10:anchorlock/>
          </v:shape>
          <o:OLEObject Type="Embed" ProgID="Equation.3" ShapeID="_x0000_i1050" DrawAspect="Content" ObjectID="_1468075750" r:id="rId104">
            <o:LockedField>false</o:LockedField>
          </o:OLEObject>
        </w:object>
      </w:r>
      <w:r>
        <w:rPr>
          <w:rFonts w:hint="default" w:ascii="Times New Roman" w:hAnsi="Times New Roman" w:eastAsia="宋体" w:cs="Times New Roman"/>
          <w:sz w:val="21"/>
          <w:szCs w:val="21"/>
        </w:rPr>
        <w:t>，公式表示即：</w:t>
      </w:r>
    </w:p>
    <w:p w14:paraId="68149350">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0"/>
          <w:sz w:val="21"/>
          <w:szCs w:val="21"/>
        </w:rPr>
        <w:object>
          <v:shape id="_x0000_i1051" o:spt="75" type="#_x0000_t75" style="height:18.2pt;width:21.05pt;" o:ole="t" filled="f" o:preferrelative="t" stroked="f" coordsize="21600,21600">
            <v:path/>
            <v:fill on="f" focussize="0,0"/>
            <v:stroke on="f" joinstyle="miter"/>
            <v:imagedata r:id="rId101" o:title=""/>
            <o:lock v:ext="edit" aspectratio="t"/>
            <w10:wrap type="none"/>
            <w10:anchorlock/>
          </v:shape>
          <o:OLEObject Type="Embed" ProgID="Equation.3" ShapeID="_x0000_i1051" DrawAspect="Content" ObjectID="_1468075751" r:id="rId106">
            <o:LockedField>false</o:LockedField>
          </o:OLEObject>
        </w:object>
      </w:r>
      <w:r>
        <w:rPr>
          <w:rFonts w:hint="default" w:ascii="Times New Roman" w:hAnsi="Times New Roman" w:eastAsia="宋体" w:cs="Times New Roman"/>
          <w:sz w:val="21"/>
          <w:szCs w:val="21"/>
        </w:rPr>
        <w:t>=</w:t>
      </w:r>
      <w:r>
        <w:rPr>
          <w:rFonts w:hint="default" w:ascii="Times New Roman" w:hAnsi="Times New Roman" w:eastAsia="宋体" w:cs="Times New Roman"/>
          <w:position w:val="-10"/>
          <w:sz w:val="21"/>
          <w:szCs w:val="21"/>
        </w:rPr>
        <w:object>
          <v:shape id="_x0000_i1052" o:spt="75" type="#_x0000_t75" style="height:18.2pt;width:21.05pt;" o:ole="t" filled="f" o:preferrelative="t" stroked="f" coordsize="21600,21600">
            <v:path/>
            <v:fill on="f" focussize="0,0"/>
            <v:stroke on="f" joinstyle="miter"/>
            <v:imagedata r:id="rId108" o:title=""/>
            <o:lock v:ext="edit" aspectratio="t"/>
            <w10:wrap type="none"/>
            <w10:anchorlock/>
          </v:shape>
          <o:OLEObject Type="Embed" ProgID="Equation.3" ShapeID="_x0000_i1052" DrawAspect="Content" ObjectID="_1468075752" r:id="rId107">
            <o:LockedField>false</o:LockedField>
          </o:OLEObject>
        </w:object>
      </w:r>
      <w:r>
        <w:rPr>
          <w:rFonts w:hint="default" w:ascii="Times New Roman" w:hAnsi="Times New Roman" w:eastAsia="宋体" w:cs="Times New Roman"/>
          <w:sz w:val="21"/>
          <w:szCs w:val="21"/>
        </w:rPr>
        <w:t>+</w:t>
      </w:r>
      <w:r>
        <w:rPr>
          <w:rFonts w:hint="default" w:ascii="Times New Roman" w:hAnsi="Times New Roman" w:eastAsia="宋体" w:cs="Times New Roman"/>
          <w:position w:val="-10"/>
          <w:sz w:val="21"/>
          <w:szCs w:val="21"/>
        </w:rPr>
        <w:object>
          <v:shape id="_x0000_i1053" o:spt="75" type="#_x0000_t75" style="height:18.2pt;width:19.95pt;" o:ole="t" filled="f" o:preferrelative="t" stroked="f" coordsize="21600,21600">
            <v:path/>
            <v:fill on="f" focussize="0,0"/>
            <v:stroke on="f" joinstyle="miter"/>
            <v:imagedata r:id="rId105" o:title=""/>
            <o:lock v:ext="edit" aspectratio="t"/>
            <w10:wrap type="none"/>
            <w10:anchorlock/>
          </v:shape>
          <o:OLEObject Type="Embed" ProgID="Equation.3" ShapeID="_x0000_i1053" DrawAspect="Content" ObjectID="_1468075753" r:id="rId109">
            <o:LockedField>false</o:LockedField>
          </o:OLEObject>
        </w:object>
      </w:r>
    </w:p>
    <w:p w14:paraId="0B89FDB0">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总自由度</w:t>
      </w:r>
      <w:r>
        <w:rPr>
          <w:rFonts w:hint="default" w:ascii="Times New Roman" w:hAnsi="Times New Roman" w:eastAsia="宋体" w:cs="Times New Roman"/>
          <w:position w:val="-10"/>
          <w:sz w:val="21"/>
          <w:szCs w:val="21"/>
        </w:rPr>
        <w:object>
          <v:shape id="_x0000_i1054" o:spt="75" type="#_x0000_t75" style="height:17.1pt;width:17.8pt;" o:ole="t" filled="f" o:preferrelative="t" stroked="f" coordsize="21600,21600">
            <v:path/>
            <v:fill on="f" focussize="0,0"/>
            <v:stroke on="f" joinstyle="miter"/>
            <v:imagedata r:id="rId111" o:title=""/>
            <o:lock v:ext="edit" aspectratio="t"/>
            <w10:wrap type="none"/>
            <w10:anchorlock/>
          </v:shape>
          <o:OLEObject Type="Embed" ProgID="Equation.3" ShapeID="_x0000_i1054" DrawAspect="Content" ObjectID="_1468075754" r:id="rId110">
            <o:LockedField>false</o:LockedField>
          </o:OLEObject>
        </w:object>
      </w:r>
      <w:r>
        <w:rPr>
          <w:rFonts w:hint="default" w:ascii="Times New Roman" w:hAnsi="Times New Roman" w:eastAsia="宋体" w:cs="Times New Roman"/>
          <w:sz w:val="21"/>
          <w:szCs w:val="21"/>
        </w:rPr>
        <w:t>可以剖分成实验室间（组间）自由度</w:t>
      </w:r>
      <w:r>
        <w:rPr>
          <w:rFonts w:hint="default" w:ascii="Times New Roman" w:hAnsi="Times New Roman" w:eastAsia="宋体" w:cs="Times New Roman"/>
          <w:position w:val="-10"/>
          <w:sz w:val="21"/>
          <w:szCs w:val="21"/>
        </w:rPr>
        <w:object>
          <v:shape id="_x0000_i1055" o:spt="75" type="#_x0000_t75" style="height:18.2pt;width:18.2pt;" o:ole="t" filled="f" o:preferrelative="t" stroked="f" coordsize="21600,21600">
            <v:path/>
            <v:fill on="f" focussize="0,0"/>
            <v:stroke on="f" joinstyle="miter"/>
            <v:imagedata r:id="rId113" o:title=""/>
            <o:lock v:ext="edit" aspectratio="t"/>
            <w10:wrap type="none"/>
            <w10:anchorlock/>
          </v:shape>
          <o:OLEObject Type="Embed" ProgID="Equation.3" ShapeID="_x0000_i1055" DrawAspect="Content" ObjectID="_1468075755" r:id="rId112">
            <o:LockedField>false</o:LockedField>
          </o:OLEObject>
        </w:object>
      </w:r>
      <w:r>
        <w:rPr>
          <w:rFonts w:hint="default" w:ascii="Times New Roman" w:hAnsi="Times New Roman" w:eastAsia="宋体" w:cs="Times New Roman"/>
          <w:sz w:val="21"/>
          <w:szCs w:val="21"/>
        </w:rPr>
        <w:t>以及实验室内（组内）自由度</w:t>
      </w:r>
      <w:r>
        <w:rPr>
          <w:rFonts w:hint="default" w:ascii="Times New Roman" w:hAnsi="Times New Roman" w:eastAsia="宋体" w:cs="Times New Roman"/>
          <w:position w:val="-10"/>
          <w:sz w:val="21"/>
          <w:szCs w:val="21"/>
        </w:rPr>
        <w:object>
          <v:shape id="_x0000_i1056" o:spt="75" type="#_x0000_t75" style="height:18.2pt;width:17.1pt;" o:ole="t" filled="f" o:preferrelative="t" stroked="f" coordsize="21600,21600">
            <v:path/>
            <v:fill on="f" focussize="0,0"/>
            <v:stroke on="f" joinstyle="miter"/>
            <v:imagedata r:id="rId115" o:title=""/>
            <o:lock v:ext="edit" aspectratio="t"/>
            <w10:wrap type="none"/>
            <w10:anchorlock/>
          </v:shape>
          <o:OLEObject Type="Embed" ProgID="Equation.3" ShapeID="_x0000_i1056" DrawAspect="Content" ObjectID="_1468075756" r:id="rId114">
            <o:LockedField>false</o:LockedField>
          </o:OLEObject>
        </w:object>
      </w:r>
      <w:r>
        <w:rPr>
          <w:rFonts w:hint="default" w:ascii="Times New Roman" w:hAnsi="Times New Roman" w:eastAsia="宋体" w:cs="Times New Roman"/>
          <w:sz w:val="21"/>
          <w:szCs w:val="21"/>
        </w:rPr>
        <w:t>，公式表示即：</w:t>
      </w:r>
    </w:p>
    <w:p w14:paraId="41CC6094">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0"/>
          <w:sz w:val="21"/>
          <w:szCs w:val="21"/>
        </w:rPr>
        <w:object>
          <v:shape id="_x0000_i1057" o:spt="75" type="#_x0000_t75" style="height:18.2pt;width:18.9pt;" o:ole="t" filled="f" o:preferrelative="t" stroked="f" coordsize="21600,21600">
            <v:path/>
            <v:fill on="f" focussize="0,0"/>
            <v:stroke on="f" joinstyle="miter"/>
            <v:imagedata r:id="rId117" o:title=""/>
            <o:lock v:ext="edit" aspectratio="t"/>
            <w10:wrap type="none"/>
            <w10:anchorlock/>
          </v:shape>
          <o:OLEObject Type="Embed" ProgID="Equation.3" ShapeID="_x0000_i1057" DrawAspect="Content" ObjectID="_1468075757" r:id="rId116">
            <o:LockedField>false</o:LockedField>
          </o:OLEObject>
        </w:object>
      </w:r>
      <w:r>
        <w:rPr>
          <w:rFonts w:hint="default" w:ascii="Times New Roman" w:hAnsi="Times New Roman" w:eastAsia="宋体" w:cs="Times New Roman"/>
          <w:sz w:val="21"/>
          <w:szCs w:val="21"/>
        </w:rPr>
        <w:t>=</w:t>
      </w:r>
      <w:r>
        <w:rPr>
          <w:rFonts w:hint="default" w:ascii="Times New Roman" w:hAnsi="Times New Roman" w:eastAsia="宋体" w:cs="Times New Roman"/>
          <w:position w:val="-10"/>
          <w:sz w:val="21"/>
          <w:szCs w:val="21"/>
        </w:rPr>
        <w:object>
          <v:shape id="_x0000_i1058" o:spt="75" type="#_x0000_t75" style="height:18.2pt;width:18.2pt;" o:ole="t" filled="f" o:preferrelative="t" stroked="f" coordsize="21600,21600">
            <v:path/>
            <v:fill on="f" focussize="0,0"/>
            <v:stroke on="f" joinstyle="miter"/>
            <v:imagedata r:id="rId113" o:title=""/>
            <o:lock v:ext="edit" aspectratio="t"/>
            <w10:wrap type="none"/>
            <w10:anchorlock/>
          </v:shape>
          <o:OLEObject Type="Embed" ProgID="Equation.3" ShapeID="_x0000_i1058" DrawAspect="Content" ObjectID="_1468075758" r:id="rId118">
            <o:LockedField>false</o:LockedField>
          </o:OLEObject>
        </w:object>
      </w:r>
      <w:r>
        <w:rPr>
          <w:rFonts w:hint="default" w:ascii="Times New Roman" w:hAnsi="Times New Roman" w:eastAsia="宋体" w:cs="Times New Roman"/>
          <w:sz w:val="21"/>
          <w:szCs w:val="21"/>
        </w:rPr>
        <w:t>+</w:t>
      </w:r>
      <w:r>
        <w:rPr>
          <w:rFonts w:hint="default" w:ascii="Times New Roman" w:hAnsi="Times New Roman" w:eastAsia="宋体" w:cs="Times New Roman"/>
          <w:position w:val="-10"/>
          <w:sz w:val="21"/>
          <w:szCs w:val="21"/>
        </w:rPr>
        <w:object>
          <v:shape id="_x0000_i1059" o:spt="75" type="#_x0000_t75" style="height:18.2pt;width:17.1pt;" o:ole="t" filled="f" o:preferrelative="t" stroked="f" coordsize="21600,21600">
            <v:path/>
            <v:fill on="f" focussize="0,0"/>
            <v:stroke on="f" joinstyle="miter"/>
            <v:imagedata r:id="rId115" o:title=""/>
            <o:lock v:ext="edit" aspectratio="t"/>
            <w10:wrap type="none"/>
            <w10:anchorlock/>
          </v:shape>
          <o:OLEObject Type="Embed" ProgID="Equation.3" ShapeID="_x0000_i1059" DrawAspect="Content" ObjectID="_1468075759" r:id="rId119">
            <o:LockedField>false</o:LockedField>
          </o:OLEObject>
        </w:object>
      </w:r>
    </w:p>
    <w:p w14:paraId="0B2C5C69">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总平方和、总自由度公式如下：</w:t>
      </w:r>
    </w:p>
    <w:p w14:paraId="3531F255">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9"/>
          <w:sz w:val="21"/>
          <w:szCs w:val="21"/>
        </w:rPr>
        <w:drawing>
          <wp:inline distT="0" distB="0" distL="114300" distR="114300">
            <wp:extent cx="2329180" cy="399415"/>
            <wp:effectExtent l="0" t="0" r="13970" b="635"/>
            <wp:docPr id="16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5"/>
                    <pic:cNvPicPr>
                      <a:picLocks noChangeAspect="1"/>
                    </pic:cNvPicPr>
                  </pic:nvPicPr>
                  <pic:blipFill>
                    <a:blip r:embed="rId120">
                      <a:clrChange>
                        <a:clrFrom>
                          <a:srgbClr val="FFFFFF"/>
                        </a:clrFrom>
                        <a:clrTo>
                          <a:srgbClr val="FFFFFF">
                            <a:alpha val="0"/>
                          </a:srgbClr>
                        </a:clrTo>
                      </a:clrChange>
                      <a:lum/>
                    </a:blip>
                    <a:stretch>
                      <a:fillRect/>
                    </a:stretch>
                  </pic:blipFill>
                  <pic:spPr>
                    <a:xfrm>
                      <a:off x="0" y="0"/>
                      <a:ext cx="2329180"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60" o:spt="75" type="#_x0000_t75" style="height:35.3pt;width:109.05pt;" o:ole="t" filled="f" o:preferrelative="t" stroked="f" coordsize="21600,21600">
            <v:path/>
            <v:fill on="f" focussize="0,0"/>
            <v:stroke on="f" joinstyle="miter"/>
            <v:imagedata r:id="rId122" o:title=""/>
            <o:lock v:ext="edit" aspectratio="t"/>
            <w10:wrap type="none"/>
            <w10:anchorlock/>
          </v:shape>
          <o:OLEObject Type="Embed" ProgID="Equation.3" ShapeID="_x0000_i1060" DrawAspect="Content" ObjectID="_1468075760" r:id="rId121">
            <o:LockedField>false</o:LockedField>
          </o:OLEObject>
        </w:object>
      </w:r>
    </w:p>
    <w:p w14:paraId="68FDD132">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0"/>
          <w:sz w:val="21"/>
          <w:szCs w:val="21"/>
        </w:rPr>
        <w:drawing>
          <wp:inline distT="0" distB="0" distL="114300" distR="114300">
            <wp:extent cx="1217295" cy="399415"/>
            <wp:effectExtent l="0" t="0" r="1905" b="0"/>
            <wp:docPr id="16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7"/>
                    <pic:cNvPicPr>
                      <a:picLocks noChangeAspect="1"/>
                    </pic:cNvPicPr>
                  </pic:nvPicPr>
                  <pic:blipFill>
                    <a:blip r:embed="rId123">
                      <a:clrChange>
                        <a:clrFrom>
                          <a:srgbClr val="FFFFFF"/>
                        </a:clrFrom>
                        <a:clrTo>
                          <a:srgbClr val="FFFFFF">
                            <a:alpha val="0"/>
                          </a:srgbClr>
                        </a:clrTo>
                      </a:clrChange>
                      <a:lum/>
                    </a:blip>
                    <a:stretch>
                      <a:fillRect/>
                    </a:stretch>
                  </pic:blipFill>
                  <pic:spPr>
                    <a:xfrm>
                      <a:off x="0" y="0"/>
                      <a:ext cx="121729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10"/>
          <w:sz w:val="21"/>
          <w:szCs w:val="21"/>
        </w:rPr>
        <w:object>
          <v:shape id="_x0000_i1061" o:spt="75" type="#_x0000_t75" style="height:17.1pt;width:62pt;" o:ole="t" filled="f" o:preferrelative="t" stroked="f" coordsize="21600,21600">
            <v:path/>
            <v:fill on="f" focussize="0,0"/>
            <v:stroke on="f" joinstyle="miter"/>
            <v:imagedata r:id="rId125" o:title=""/>
            <o:lock v:ext="edit" aspectratio="t"/>
            <w10:wrap type="none"/>
            <w10:anchorlock/>
          </v:shape>
          <o:OLEObject Type="Embed" ProgID="Equation.3" ShapeID="_x0000_i1061" DrawAspect="Content" ObjectID="_1468075761" r:id="rId124">
            <o:LockedField>false</o:LockedField>
          </o:OLEObject>
        </w:object>
      </w:r>
    </w:p>
    <w:p w14:paraId="4F0B9E61">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实验室间平方和、自由度公式如下：</w:t>
      </w:r>
    </w:p>
    <w:p w14:paraId="5F32DA6A">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9"/>
          <w:sz w:val="21"/>
          <w:szCs w:val="21"/>
        </w:rPr>
        <w:drawing>
          <wp:inline distT="0" distB="0" distL="114300" distR="114300">
            <wp:extent cx="2040255" cy="399415"/>
            <wp:effectExtent l="0" t="0" r="17145" b="635"/>
            <wp:docPr id="16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9"/>
                    <pic:cNvPicPr>
                      <a:picLocks noChangeAspect="1"/>
                    </pic:cNvPicPr>
                  </pic:nvPicPr>
                  <pic:blipFill>
                    <a:blip r:embed="rId126">
                      <a:clrChange>
                        <a:clrFrom>
                          <a:srgbClr val="FFFFFF"/>
                        </a:clrFrom>
                        <a:clrTo>
                          <a:srgbClr val="FFFFFF">
                            <a:alpha val="0"/>
                          </a:srgbClr>
                        </a:clrTo>
                      </a:clrChange>
                      <a:lum/>
                    </a:blip>
                    <a:stretch>
                      <a:fillRect/>
                    </a:stretch>
                  </pic:blipFill>
                  <pic:spPr>
                    <a:xfrm>
                      <a:off x="0" y="0"/>
                      <a:ext cx="204025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62" o:spt="75" type="#_x0000_t75" style="height:35.3pt;width:100.5pt;" o:ole="t" filled="f" o:preferrelative="t" stroked="f" coordsize="21600,21600">
            <v:path/>
            <v:fill on="f" focussize="0,0"/>
            <v:stroke on="f" joinstyle="miter"/>
            <v:imagedata r:id="rId128" o:title=""/>
            <o:lock v:ext="edit" aspectratio="t"/>
            <w10:wrap type="none"/>
            <w10:anchorlock/>
          </v:shape>
          <o:OLEObject Type="Embed" ProgID="Equation.3" ShapeID="_x0000_i1062" DrawAspect="Content" ObjectID="_1468075762" r:id="rId127">
            <o:LockedField>false</o:LockedField>
          </o:OLEObject>
        </w:object>
      </w:r>
    </w:p>
    <w:p w14:paraId="4BA70B97">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0"/>
          <w:sz w:val="21"/>
          <w:szCs w:val="21"/>
        </w:rPr>
        <w:object>
          <v:shape id="_x0000_i1063" o:spt="75" type="#_x0000_t75" style="height:18.2pt;width:65.95pt;" o:ole="t" filled="f" o:preferrelative="t" stroked="f" coordsize="21600,21600">
            <v:path/>
            <v:fill on="f" focussize="0,0"/>
            <v:stroke on="f" joinstyle="miter"/>
            <v:imagedata r:id="rId130" o:title=""/>
            <o:lock v:ext="edit" aspectratio="t"/>
            <w10:wrap type="none"/>
            <w10:anchorlock/>
          </v:shape>
          <o:OLEObject Type="Embed" ProgID="Equation.3" ShapeID="_x0000_i1063" DrawAspect="Content" ObjectID="_1468075763" r:id="rId129">
            <o:LockedField>false</o:LockedField>
          </o:OLEObject>
        </w:object>
      </w:r>
    </w:p>
    <w:p w14:paraId="30B43427">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实验室内平方和、自由度公式如下：</w:t>
      </w:r>
    </w:p>
    <w:p w14:paraId="034C9301">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3513455" cy="399415"/>
            <wp:effectExtent l="0" t="0" r="10795" b="0"/>
            <wp:docPr id="16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2"/>
                    <pic:cNvPicPr>
                      <a:picLocks noChangeAspect="1"/>
                    </pic:cNvPicPr>
                  </pic:nvPicPr>
                  <pic:blipFill>
                    <a:blip r:embed="rId131">
                      <a:clrChange>
                        <a:clrFrom>
                          <a:srgbClr val="FFFFFF"/>
                        </a:clrFrom>
                        <a:clrTo>
                          <a:srgbClr val="FFFFFF">
                            <a:alpha val="0"/>
                          </a:srgbClr>
                        </a:clrTo>
                      </a:clrChange>
                      <a:lum/>
                    </a:blip>
                    <a:stretch>
                      <a:fillRect/>
                    </a:stretch>
                  </pic:blipFill>
                  <pic:spPr>
                    <a:xfrm>
                      <a:off x="0" y="0"/>
                      <a:ext cx="351345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64" o:spt="75" type="#_x0000_t75" style="height:34.95pt;width:167.15pt;" o:ole="t" filled="f" o:preferrelative="t" stroked="f" coordsize="21600,21600">
            <v:path/>
            <v:fill on="f" focussize="0,0"/>
            <v:stroke on="f" joinstyle="miter"/>
            <v:imagedata r:id="rId133" o:title=""/>
            <o:lock v:ext="edit" aspectratio="t"/>
            <w10:wrap type="none"/>
            <w10:anchorlock/>
          </v:shape>
          <o:OLEObject Type="Embed" ProgID="Equation.3" ShapeID="_x0000_i1064" DrawAspect="Content" ObjectID="_1468075764" r:id="rId132">
            <o:LockedField>false</o:LockedField>
          </o:OLEObject>
        </w:object>
      </w:r>
    </w:p>
    <w:p w14:paraId="2BF820A9">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0"/>
          <w:sz w:val="21"/>
          <w:szCs w:val="21"/>
        </w:rPr>
        <w:drawing>
          <wp:inline distT="0" distB="0" distL="114300" distR="114300">
            <wp:extent cx="1198245" cy="399415"/>
            <wp:effectExtent l="0" t="0" r="1905" b="0"/>
            <wp:docPr id="16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4"/>
                    <pic:cNvPicPr>
                      <a:picLocks noChangeAspect="1"/>
                    </pic:cNvPicPr>
                  </pic:nvPicPr>
                  <pic:blipFill>
                    <a:blip r:embed="rId134">
                      <a:clrChange>
                        <a:clrFrom>
                          <a:srgbClr val="FFFFFF"/>
                        </a:clrFrom>
                        <a:clrTo>
                          <a:srgbClr val="FFFFFF">
                            <a:alpha val="0"/>
                          </a:srgbClr>
                        </a:clrTo>
                      </a:clrChange>
                      <a:lum/>
                    </a:blip>
                    <a:stretch>
                      <a:fillRect/>
                    </a:stretch>
                  </pic:blipFill>
                  <pic:spPr>
                    <a:xfrm>
                      <a:off x="0" y="0"/>
                      <a:ext cx="119824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10"/>
          <w:sz w:val="21"/>
          <w:szCs w:val="21"/>
        </w:rPr>
        <w:object>
          <v:shape id="_x0000_i1065" o:spt="75" type="#_x0000_t75" style="height:17.1pt;width:65.25pt;" o:ole="t" filled="f" o:preferrelative="t" stroked="f" coordsize="21600,21600">
            <v:path/>
            <v:fill on="f" focussize="0,0"/>
            <v:stroke on="f" joinstyle="miter"/>
            <v:imagedata r:id="rId136" o:title=""/>
            <o:lock v:ext="edit" aspectratio="t"/>
            <w10:wrap type="none"/>
            <w10:anchorlock/>
          </v:shape>
          <o:OLEObject Type="Embed" ProgID="Equation.3" ShapeID="_x0000_i1065" DrawAspect="Content" ObjectID="_1468075765" r:id="rId135">
            <o:LockedField>false</o:LockedField>
          </o:OLEObject>
        </w:object>
      </w:r>
    </w:p>
    <w:p w14:paraId="06B13125">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（2）均方（Mean Square, </w:t>
      </w:r>
      <w:r>
        <w:rPr>
          <w:rFonts w:hint="default" w:ascii="Times New Roman" w:hAnsi="Times New Roman" w:eastAsia="宋体" w:cs="Times New Roman"/>
          <w:b/>
          <w:bCs/>
          <w:i/>
          <w:sz w:val="21"/>
          <w:szCs w:val="21"/>
        </w:rPr>
        <w:t>MS</w:t>
      </w:r>
      <w:r>
        <w:rPr>
          <w:rFonts w:hint="default" w:ascii="Times New Roman" w:hAnsi="Times New Roman" w:eastAsia="宋体" w:cs="Times New Roman"/>
          <w:b/>
          <w:bCs/>
          <w:sz w:val="21"/>
          <w:szCs w:val="21"/>
        </w:rPr>
        <w:t>）的计算</w:t>
      </w:r>
    </w:p>
    <w:p w14:paraId="3C186E23">
      <w:pPr>
        <w:keepNext w:val="0"/>
        <w:keepLines w:val="0"/>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实验室内均方公式如下：</w:t>
      </w:r>
    </w:p>
    <w:p w14:paraId="3F39B2E5">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4312285" cy="399415"/>
            <wp:effectExtent l="0" t="0" r="12065" b="0"/>
            <wp:docPr id="17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6"/>
                    <pic:cNvPicPr>
                      <a:picLocks noChangeAspect="1"/>
                    </pic:cNvPicPr>
                  </pic:nvPicPr>
                  <pic:blipFill>
                    <a:blip r:embed="rId137">
                      <a:clrChange>
                        <a:clrFrom>
                          <a:srgbClr val="FFFFFF"/>
                        </a:clrFrom>
                        <a:clrTo>
                          <a:srgbClr val="FFFFFF">
                            <a:alpha val="0"/>
                          </a:srgbClr>
                        </a:clrTo>
                      </a:clrChange>
                      <a:lum/>
                    </a:blip>
                    <a:stretch>
                      <a:fillRect/>
                    </a:stretch>
                  </pic:blipFill>
                  <pic:spPr>
                    <a:xfrm>
                      <a:off x="0" y="0"/>
                      <a:ext cx="431228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66" o:spt="75" type="#_x0000_t75" style="height:34.95pt;width:211.7pt;" o:ole="t" filled="f" o:preferrelative="t" stroked="f" coordsize="21600,21600">
            <v:path/>
            <v:fill on="f" focussize="0,0"/>
            <v:stroke on="f" joinstyle="miter"/>
            <v:imagedata r:id="rId139" o:title=""/>
            <o:lock v:ext="edit" aspectratio="t"/>
            <w10:wrap type="none"/>
            <w10:anchorlock/>
          </v:shape>
          <o:OLEObject Type="Embed" ProgID="Equation.3" ShapeID="_x0000_i1066" DrawAspect="Content" ObjectID="_1468075766" r:id="rId138">
            <o:LockedField>false</o:LockedField>
          </o:OLEObject>
        </w:object>
      </w:r>
    </w:p>
    <w:p w14:paraId="6FC628D2">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实验室间均方公式如下：</w:t>
      </w:r>
    </w:p>
    <w:p w14:paraId="781D3AD0">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9"/>
          <w:sz w:val="21"/>
          <w:szCs w:val="21"/>
        </w:rPr>
        <w:drawing>
          <wp:inline distT="0" distB="0" distL="114300" distR="114300">
            <wp:extent cx="3811905" cy="399415"/>
            <wp:effectExtent l="0" t="0" r="17145" b="635"/>
            <wp:docPr id="17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8"/>
                    <pic:cNvPicPr>
                      <a:picLocks noChangeAspect="1"/>
                    </pic:cNvPicPr>
                  </pic:nvPicPr>
                  <pic:blipFill>
                    <a:blip r:embed="rId140">
                      <a:clrChange>
                        <a:clrFrom>
                          <a:srgbClr val="FFFFFF"/>
                        </a:clrFrom>
                        <a:clrTo>
                          <a:srgbClr val="FFFFFF">
                            <a:alpha val="0"/>
                          </a:srgbClr>
                        </a:clrTo>
                      </a:clrChange>
                      <a:lum/>
                    </a:blip>
                    <a:stretch>
                      <a:fillRect/>
                    </a:stretch>
                  </pic:blipFill>
                  <pic:spPr>
                    <a:xfrm>
                      <a:off x="0" y="0"/>
                      <a:ext cx="381190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67" o:spt="75" type="#_x0000_t75" style="height:34.95pt;width:194.95pt;" o:ole="t" filled="f" o:preferrelative="t" stroked="f" coordsize="21600,21600">
            <v:path/>
            <v:fill on="f" focussize="0,0"/>
            <v:stroke on="f" joinstyle="miter"/>
            <v:imagedata r:id="rId142" o:title=""/>
            <o:lock v:ext="edit" aspectratio="t"/>
            <w10:wrap type="none"/>
            <w10:anchorlock/>
          </v:shape>
          <o:OLEObject Type="Embed" ProgID="Equation.3" ShapeID="_x0000_i1067" DrawAspect="Content" ObjectID="_1468075767" r:id="rId141">
            <o:LockedField>false</o:LockedField>
          </o:OLEObject>
        </w:object>
      </w:r>
    </w:p>
    <w:p w14:paraId="0FAACA5A">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（3）方差（variance）组分估计</w:t>
      </w:r>
    </w:p>
    <w:p w14:paraId="3D31018D">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1）重复性方差（实验室内方差）</w:t>
      </w:r>
    </w:p>
    <w:p w14:paraId="4795FA42">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实验室内均方差（误差方差）即是估计的重复性方差</w:t>
      </w:r>
      <w:r>
        <w:rPr>
          <w:rFonts w:hint="default" w:ascii="Times New Roman" w:hAnsi="Times New Roman" w:eastAsia="宋体" w:cs="Times New Roman"/>
          <w:position w:val="-14"/>
          <w:sz w:val="21"/>
          <w:szCs w:val="21"/>
        </w:rPr>
        <w:object>
          <v:shape id="_x0000_i1068" o:spt="75" type="#_x0000_t75" style="height:20.65pt;width:16.05pt;" o:ole="t" filled="f" o:preferrelative="t" stroked="f" coordsize="21600,21600">
            <v:path/>
            <v:fill on="f" focussize="0,0"/>
            <v:stroke on="f" joinstyle="miter"/>
            <v:imagedata r:id="rId144" o:title=""/>
            <o:lock v:ext="edit" aspectratio="t"/>
            <w10:wrap type="none"/>
            <w10:anchorlock/>
          </v:shape>
          <o:OLEObject Type="Embed" ProgID="Equation.3" ShapeID="_x0000_i1068" DrawAspect="Content" ObjectID="_1468075768" r:id="rId143">
            <o:LockedField>false</o:LockedField>
          </o:OLEObject>
        </w:object>
      </w:r>
      <w:r>
        <w:rPr>
          <w:rFonts w:hint="default" w:ascii="Times New Roman" w:hAnsi="Times New Roman" w:eastAsia="宋体" w:cs="Times New Roman"/>
          <w:sz w:val="21"/>
          <w:szCs w:val="21"/>
        </w:rPr>
        <w:t>。</w:t>
      </w:r>
    </w:p>
    <w:p w14:paraId="4D1C4EBE">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object>
          <v:shape id="_x0000_i1069" o:spt="75" type="#_x0000_t75" style="height:20.65pt;width:16.05pt;" o:ole="t" filled="f" o:preferrelative="t" stroked="f" coordsize="21600,21600">
            <v:path/>
            <v:fill on="f" focussize="0,0"/>
            <v:stroke on="f" joinstyle="miter"/>
            <v:imagedata r:id="rId146" o:title=""/>
            <o:lock v:ext="edit" aspectratio="t"/>
            <w10:wrap type="none"/>
            <w10:anchorlock/>
          </v:shape>
          <o:OLEObject Type="Embed" ProgID="Equation.3" ShapeID="_x0000_i1069" DrawAspect="Content" ObjectID="_1468075769" r:id="rId145">
            <o:LockedField>false</o:LockedField>
          </o:OLEObject>
        </w:objec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4350385" cy="399415"/>
            <wp:effectExtent l="0" t="0" r="12065" b="0"/>
            <wp:docPr id="17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2"/>
                    <pic:cNvPicPr>
                      <a:picLocks noChangeAspect="1"/>
                    </pic:cNvPicPr>
                  </pic:nvPicPr>
                  <pic:blipFill>
                    <a:blip r:embed="rId147">
                      <a:clrChange>
                        <a:clrFrom>
                          <a:srgbClr val="FFFFFF"/>
                        </a:clrFrom>
                        <a:clrTo>
                          <a:srgbClr val="FFFFFF">
                            <a:alpha val="0"/>
                          </a:srgbClr>
                        </a:clrTo>
                      </a:clrChange>
                      <a:lum/>
                    </a:blip>
                    <a:stretch>
                      <a:fillRect/>
                    </a:stretch>
                  </pic:blipFill>
                  <pic:spPr>
                    <a:xfrm>
                      <a:off x="0" y="0"/>
                      <a:ext cx="435038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70" o:spt="75" type="#_x0000_t75" style="height:34.95pt;width:211.7pt;" o:ole="t" filled="f" o:preferrelative="t" stroked="f" coordsize="21600,21600">
            <v:path/>
            <v:fill on="f" focussize="0,0"/>
            <v:stroke on="f" joinstyle="miter"/>
            <v:imagedata r:id="rId149" o:title=""/>
            <o:lock v:ext="edit" aspectratio="t"/>
            <w10:wrap type="none"/>
            <w10:anchorlock/>
          </v:shape>
          <o:OLEObject Type="Embed" ProgID="Equation.3" ShapeID="_x0000_i1070" DrawAspect="Content" ObjectID="_1468075770" r:id="rId148">
            <o:LockedField>false</o:LockedField>
          </o:OLEObject>
        </w:object>
      </w:r>
    </w:p>
    <w:p w14:paraId="62997ADE">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2）实验室间方差</w:t>
      </w:r>
    </w:p>
    <w:p w14:paraId="4A94F2AD">
      <w:pPr>
        <w:pageBreakBefore w:val="0"/>
        <w:widowControl w:val="0"/>
        <w:kinsoku/>
        <w:wordWrap/>
        <w:overflowPunct/>
        <w:topLinePunct w:val="0"/>
        <w:autoSpaceDE/>
        <w:autoSpaceDN/>
        <w:bidi w:val="0"/>
        <w:adjustRightInd/>
        <w:snapToGrid/>
        <w:spacing w:line="26" w:lineRule="atLeast"/>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根据抽样理论即期望均方（Expected Mean Square, EMS）可知实验室间均方差(</w:t>
      </w:r>
      <w:r>
        <w:rPr>
          <w:rFonts w:hint="default" w:ascii="Times New Roman" w:hAnsi="Times New Roman" w:eastAsia="宋体" w:cs="Times New Roman"/>
          <w:i/>
          <w:sz w:val="21"/>
          <w:szCs w:val="21"/>
        </w:rPr>
        <w:t>MS</w:t>
      </w:r>
      <w:r>
        <w:rPr>
          <w:rFonts w:hint="default" w:ascii="Times New Roman" w:hAnsi="Times New Roman" w:eastAsia="宋体" w:cs="Times New Roman"/>
          <w:i/>
          <w:sz w:val="21"/>
          <w:szCs w:val="21"/>
          <w:vertAlign w:val="subscript"/>
        </w:rPr>
        <w:t>L</w:t>
      </w:r>
      <w:r>
        <w:rPr>
          <w:rFonts w:hint="default" w:ascii="Times New Roman" w:hAnsi="Times New Roman" w:eastAsia="宋体" w:cs="Times New Roman"/>
          <w:sz w:val="21"/>
          <w:szCs w:val="21"/>
        </w:rPr>
        <w:t>)的方差构成为：</w:t>
      </w:r>
    </w:p>
    <w:p w14:paraId="545DBD41">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2"/>
          <w:sz w:val="21"/>
          <w:szCs w:val="21"/>
        </w:rPr>
        <w:drawing>
          <wp:inline distT="0" distB="0" distL="114300" distR="114300">
            <wp:extent cx="1746885" cy="399415"/>
            <wp:effectExtent l="0" t="0" r="5715" b="635"/>
            <wp:docPr id="17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4"/>
                    <pic:cNvPicPr>
                      <a:picLocks noChangeAspect="1"/>
                    </pic:cNvPicPr>
                  </pic:nvPicPr>
                  <pic:blipFill>
                    <a:blip r:embed="rId150">
                      <a:clrChange>
                        <a:clrFrom>
                          <a:srgbClr val="FFFFFF"/>
                        </a:clrFrom>
                        <a:clrTo>
                          <a:srgbClr val="FFFFFF">
                            <a:alpha val="0"/>
                          </a:srgbClr>
                        </a:clrTo>
                      </a:clrChange>
                      <a:lum/>
                    </a:blip>
                    <a:stretch>
                      <a:fillRect/>
                    </a:stretch>
                  </pic:blipFill>
                  <pic:spPr>
                    <a:xfrm>
                      <a:off x="0" y="0"/>
                      <a:ext cx="174688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14"/>
          <w:sz w:val="21"/>
          <w:szCs w:val="21"/>
        </w:rPr>
        <w:object>
          <v:shape id="_x0000_i1071" o:spt="75" type="#_x0000_t75" style="height:19.6pt;width:91.95pt;" o:ole="t" filled="f" o:preferrelative="t" stroked="f" coordsize="21600,21600">
            <v:path/>
            <v:fill on="f" focussize="0,0"/>
            <v:stroke on="f" joinstyle="miter"/>
            <v:imagedata r:id="rId152" o:title=""/>
            <o:lock v:ext="edit" aspectratio="t"/>
            <w10:wrap type="none"/>
            <w10:anchorlock/>
          </v:shape>
          <o:OLEObject Type="Embed" ProgID="Equation.3" ShapeID="_x0000_i1071" DrawAspect="Content" ObjectID="_1468075771" r:id="rId151">
            <o:LockedField>false</o:LockedField>
          </o:OLEObject>
        </w:object>
      </w:r>
    </w:p>
    <w:p w14:paraId="4B0BCB33">
      <w:pPr>
        <w:pageBreakBefore w:val="0"/>
        <w:widowControl w:val="0"/>
        <w:kinsoku/>
        <w:wordWrap/>
        <w:overflowPunct/>
        <w:topLinePunct w:val="0"/>
        <w:autoSpaceDE/>
        <w:autoSpaceDN/>
        <w:bidi w:val="0"/>
        <w:adjustRightInd/>
        <w:snapToGrid/>
        <w:spacing w:line="26" w:lineRule="atLeast"/>
        <w:ind w:firstLine="420" w:firstLineChars="200"/>
        <w:jc w:val="left"/>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于是可得</w:t>
      </w:r>
      <w:r>
        <w:rPr>
          <w:rFonts w:hint="default" w:ascii="Times New Roman" w:hAnsi="Times New Roman" w:eastAsia="宋体" w:cs="Times New Roman"/>
          <w:b/>
          <w:sz w:val="21"/>
          <w:szCs w:val="21"/>
        </w:rPr>
        <w:t>实验室间方差</w:t>
      </w:r>
      <w:r>
        <w:rPr>
          <w:rFonts w:hint="default" w:ascii="Times New Roman" w:hAnsi="Times New Roman" w:eastAsia="宋体" w:cs="Times New Roman"/>
          <w:position w:val="-14"/>
          <w:sz w:val="21"/>
          <w:szCs w:val="21"/>
        </w:rPr>
        <w:object>
          <v:shape id="_x0000_i1072" o:spt="75" type="#_x0000_t75" style="height:19.6pt;width:17.8pt;" o:ole="t" filled="f" o:preferrelative="t" stroked="f" coordsize="21600,21600">
            <v:path/>
            <v:fill on="f" focussize="0,0"/>
            <v:stroke on="f" joinstyle="miter"/>
            <v:imagedata r:id="rId98" o:title=""/>
            <o:lock v:ext="edit" aspectratio="t"/>
            <w10:wrap type="none"/>
            <w10:anchorlock/>
          </v:shape>
          <o:OLEObject Type="Embed" ProgID="Equation.3" ShapeID="_x0000_i1072" DrawAspect="Content" ObjectID="_1468075772" r:id="rId153">
            <o:LockedField>false</o:LockedField>
          </o:OLEObject>
        </w:object>
      </w:r>
      <w:r>
        <w:rPr>
          <w:rFonts w:hint="default" w:ascii="Times New Roman" w:hAnsi="Times New Roman" w:eastAsia="宋体" w:cs="Times New Roman"/>
          <w:b/>
          <w:sz w:val="21"/>
          <w:szCs w:val="21"/>
        </w:rPr>
        <w:t>：</w:t>
      </w:r>
    </w:p>
    <w:p w14:paraId="675DE7EA">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33"/>
          <w:sz w:val="21"/>
          <w:szCs w:val="21"/>
        </w:rPr>
        <w:drawing>
          <wp:inline distT="0" distB="0" distL="114300" distR="114300">
            <wp:extent cx="4062095" cy="591820"/>
            <wp:effectExtent l="0" t="0" r="14605" b="0"/>
            <wp:docPr id="17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7"/>
                    <pic:cNvPicPr>
                      <a:picLocks noChangeAspect="1"/>
                    </pic:cNvPicPr>
                  </pic:nvPicPr>
                  <pic:blipFill>
                    <a:blip r:embed="rId154">
                      <a:clrChange>
                        <a:clrFrom>
                          <a:srgbClr val="FFFFFF"/>
                        </a:clrFrom>
                        <a:clrTo>
                          <a:srgbClr val="FFFFFF">
                            <a:alpha val="0"/>
                          </a:srgbClr>
                        </a:clrTo>
                      </a:clrChange>
                      <a:lum/>
                    </a:blip>
                    <a:stretch>
                      <a:fillRect/>
                    </a:stretch>
                  </pic:blipFill>
                  <pic:spPr>
                    <a:xfrm>
                      <a:off x="0" y="0"/>
                      <a:ext cx="4062095" cy="59182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73" o:spt="75" type="#_x0000_t75" style="height:43.5pt;width:196.05pt;" o:ole="t" filled="f" o:preferrelative="t" stroked="f" coordsize="21600,21600">
            <v:path/>
            <v:fill on="f" focussize="0,0"/>
            <v:stroke on="f"/>
            <v:imagedata r:id="rId156" o:title=""/>
            <o:lock v:ext="edit" aspectratio="t"/>
            <w10:wrap type="none"/>
            <w10:anchorlock/>
          </v:shape>
          <o:OLEObject Type="Embed" ProgID="Equation.3" ShapeID="_x0000_i1073" DrawAspect="Content" ObjectID="_1468075773" r:id="rId155">
            <o:LockedField>false</o:LockedField>
          </o:OLEObject>
        </w:object>
      </w:r>
    </w:p>
    <w:p w14:paraId="149901C4">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3）再现性方差：</w:t>
      </w:r>
    </w:p>
    <w:p w14:paraId="4B2259A4">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drawing>
          <wp:inline distT="0" distB="0" distL="114300" distR="114300">
            <wp:extent cx="986790" cy="259715"/>
            <wp:effectExtent l="0" t="0" r="0" b="5715"/>
            <wp:docPr id="17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9"/>
                    <pic:cNvPicPr>
                      <a:picLocks noChangeAspect="1"/>
                    </pic:cNvPicPr>
                  </pic:nvPicPr>
                  <pic:blipFill>
                    <a:blip r:embed="rId157">
                      <a:lum/>
                    </a:blip>
                    <a:stretch>
                      <a:fillRect/>
                    </a:stretch>
                  </pic:blipFill>
                  <pic:spPr>
                    <a:xfrm>
                      <a:off x="0" y="0"/>
                      <a:ext cx="986790" cy="259715"/>
                    </a:xfrm>
                    <a:prstGeom prst="rect">
                      <a:avLst/>
                    </a:prstGeom>
                    <a:noFill/>
                    <a:ln>
                      <a:noFill/>
                    </a:ln>
                  </pic:spPr>
                </pic:pic>
              </a:graphicData>
            </a:graphic>
          </wp:inline>
        </w:drawing>
      </w:r>
    </w:p>
    <w:p w14:paraId="5B756F9D">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lang w:val="en-US" w:eastAsia="zh-CN" w:bidi="ar-SA"/>
        </w:rPr>
      </w:pPr>
      <w:r>
        <w:rPr>
          <w:rFonts w:hint="default" w:ascii="Times New Roman" w:hAnsi="Times New Roman" w:eastAsia="黑体" w:cs="Calibri"/>
          <w:b w:val="0"/>
          <w:bCs/>
          <w:kern w:val="2"/>
          <w:sz w:val="21"/>
          <w:szCs w:val="28"/>
          <w:lang w:val="en-US" w:eastAsia="zh-CN" w:bidi="ar-SA"/>
        </w:rPr>
        <w:t>2.3.1.1.2  精密度分析方法的扩展通用公式</w:t>
      </w:r>
    </w:p>
    <w:p w14:paraId="29DF9416">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（1）统计量的简便计算</w:t>
      </w:r>
    </w:p>
    <w:p w14:paraId="42CD609D">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pPr>
      <w:r>
        <w:t>以第</w:t>
      </w:r>
      <w:r>
        <w:rPr>
          <w:i/>
          <w:iCs/>
        </w:rPr>
        <w:t>j</w:t>
      </w:r>
      <w:r>
        <w:t>水平为例，无论各实验室平行子样个数</w:t>
      </w:r>
      <w:r>
        <w:rPr>
          <w:rFonts w:hint="eastAsia"/>
          <w:i/>
          <w:iCs/>
          <w:lang w:val="en-US" w:eastAsia="zh-CN"/>
        </w:rPr>
        <w:t>m</w:t>
      </w:r>
      <w:r>
        <w:rPr>
          <w:rFonts w:hint="eastAsia"/>
          <w:i/>
          <w:iCs/>
          <w:vertAlign w:val="subscript"/>
          <w:lang w:val="en-US" w:eastAsia="zh-CN"/>
        </w:rPr>
        <w:t>ij</w:t>
      </w:r>
      <w:r>
        <w:t>是否相等，均可按5个统计量简便计算验证结果的重复性方差</w:t>
      </w:r>
      <w:r>
        <w:rPr>
          <w:rFonts w:ascii="Times New Roman" w:hAnsi="Times New Roman" w:eastAsia="仿宋" w:cs="Times New Roman"/>
          <w:position w:val="-14"/>
        </w:rPr>
        <w:object>
          <v:shape id="_x0000_i1074" o:spt="75" type="#_x0000_t75" style="height:20.5pt;width:16.2pt;" o:ole="t" filled="f" o:preferrelative="t" stroked="f" coordsize="21600,21600">
            <v:path/>
            <v:fill on="f" focussize="0,0"/>
            <v:stroke on="f" joinstyle="miter"/>
            <v:imagedata r:id="rId144" o:title=""/>
            <o:lock v:ext="edit" aspectratio="t"/>
            <w10:wrap type="none"/>
            <w10:anchorlock/>
          </v:shape>
          <o:OLEObject Type="Embed" ProgID="Equation.3" ShapeID="_x0000_i1074" DrawAspect="Content" ObjectID="_1468075774" r:id="rId158">
            <o:LockedField>false</o:LockedField>
          </o:OLEObject>
        </w:object>
      </w:r>
      <w:r>
        <w:t>、实验室间方差</w:t>
      </w:r>
      <w:r>
        <w:rPr>
          <w:rFonts w:ascii="Times New Roman" w:hAnsi="Times New Roman" w:eastAsia="仿宋" w:cs="Times New Roman"/>
          <w:position w:val="-14"/>
        </w:rPr>
        <w:object>
          <v:shape id="_x0000_i1075" o:spt="75" type="#_x0000_t75" style="height:19.55pt;width:17.65pt;" o:ole="t" filled="f" o:preferrelative="t" stroked="f" coordsize="21600,21600">
            <v:path/>
            <v:fill on="f" focussize="0,0"/>
            <v:stroke on="f" joinstyle="miter"/>
            <v:imagedata r:id="rId98" o:title=""/>
            <o:lock v:ext="edit" aspectratio="t"/>
            <w10:wrap type="none"/>
            <w10:anchorlock/>
          </v:shape>
          <o:OLEObject Type="Embed" ProgID="Equation.3" ShapeID="_x0000_i1075" DrawAspect="Content" ObjectID="_1468075775" r:id="rId159">
            <o:LockedField>false</o:LockedField>
          </o:OLEObject>
        </w:object>
      </w:r>
      <w:r>
        <w:t>和再现性方差</w:t>
      </w:r>
      <w:r>
        <w:rPr>
          <w:rFonts w:ascii="Times New Roman" w:hAnsi="Times New Roman" w:eastAsia="仿宋" w:cs="Times New Roman"/>
          <w:position w:val="-12"/>
        </w:rPr>
        <w:object>
          <v:shape id="_x0000_i1076" o:spt="75" type="#_x0000_t75" style="height:19.55pt;width:17.65pt;" o:ole="t" filled="f" o:preferrelative="t" stroked="f" coordsize="21600,21600">
            <v:path/>
            <v:fill on="f" focussize="0,0"/>
            <v:stroke on="f" joinstyle="miter"/>
            <v:imagedata r:id="rId161" o:title=""/>
            <o:lock v:ext="edit" aspectratio="t"/>
            <w10:wrap type="none"/>
            <w10:anchorlock/>
          </v:shape>
          <o:OLEObject Type="Embed" ProgID="Equation.3" ShapeID="_x0000_i1076" DrawAspect="Content" ObjectID="_1468075776" r:id="rId160">
            <o:LockedField>false</o:LockedField>
          </o:OLEObject>
        </w:object>
      </w:r>
      <w:r>
        <w:t>：</w:t>
      </w:r>
    </w:p>
    <w:p w14:paraId="393FD380">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1477645" cy="399415"/>
            <wp:effectExtent l="0" t="0" r="8255" b="0"/>
            <wp:docPr id="17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45"/>
                    <pic:cNvPicPr>
                      <a:picLocks noChangeAspect="1"/>
                    </pic:cNvPicPr>
                  </pic:nvPicPr>
                  <pic:blipFill>
                    <a:blip r:embed="rId162">
                      <a:clrChange>
                        <a:clrFrom>
                          <a:srgbClr val="FFFFFF"/>
                        </a:clrFrom>
                        <a:clrTo>
                          <a:srgbClr val="FFFFFF">
                            <a:alpha val="0"/>
                          </a:srgbClr>
                        </a:clrTo>
                      </a:clrChange>
                      <a:lum/>
                    </a:blip>
                    <a:stretch>
                      <a:fillRect/>
                    </a:stretch>
                  </pic:blipFill>
                  <pic:spPr>
                    <a:xfrm>
                      <a:off x="0" y="0"/>
                      <a:ext cx="147764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77" o:spt="75" type="#_x0000_t75" style="height:34.2pt;width:67.35pt;" o:ole="t" filled="f" o:preferrelative="t" stroked="f" coordsize="21600,21600">
            <v:path/>
            <v:fill on="f" focussize="0,0"/>
            <v:stroke on="f" joinstyle="miter"/>
            <v:imagedata r:id="rId164" o:title=""/>
            <o:lock v:ext="edit" aspectratio="t"/>
            <w10:wrap type="none"/>
            <w10:anchorlock/>
          </v:shape>
          <o:OLEObject Type="Embed" ProgID="Equation.3" ShapeID="_x0000_i1077" DrawAspect="Content" ObjectID="_1468075777" r:id="rId163">
            <o:LockedField>false</o:LockedField>
          </o:OLEObject>
        </w:object>
      </w:r>
    </w:p>
    <w:p w14:paraId="62E44C45">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1482090" cy="399415"/>
            <wp:effectExtent l="0" t="0" r="3810" b="635"/>
            <wp:docPr id="179"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7"/>
                    <pic:cNvPicPr>
                      <a:picLocks noChangeAspect="1"/>
                    </pic:cNvPicPr>
                  </pic:nvPicPr>
                  <pic:blipFill>
                    <a:blip r:embed="rId165">
                      <a:clrChange>
                        <a:clrFrom>
                          <a:srgbClr val="FFFFFF"/>
                        </a:clrFrom>
                        <a:clrTo>
                          <a:srgbClr val="FFFFFF">
                            <a:alpha val="0"/>
                          </a:srgbClr>
                        </a:clrTo>
                      </a:clrChange>
                      <a:lum/>
                    </a:blip>
                    <a:stretch>
                      <a:fillRect/>
                    </a:stretch>
                  </pic:blipFill>
                  <pic:spPr>
                    <a:xfrm>
                      <a:off x="0" y="0"/>
                      <a:ext cx="1482090"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78" o:spt="75" type="#_x0000_t75" style="height:34.2pt;width:69.15pt;" o:ole="t" filled="f" o:preferrelative="t" stroked="f" coordsize="21600,21600">
            <v:path/>
            <v:fill on="f" focussize="0,0"/>
            <v:stroke on="f" joinstyle="miter"/>
            <v:imagedata r:id="rId167" o:title=""/>
            <o:lock v:ext="edit" aspectratio="t"/>
            <w10:wrap type="none"/>
            <w10:anchorlock/>
          </v:shape>
          <o:OLEObject Type="Embed" ProgID="Equation.3" ShapeID="_x0000_i1078" DrawAspect="Content" ObjectID="_1468075778" r:id="rId166">
            <o:LockedField>false</o:LockedField>
          </o:OLEObject>
        </w:object>
      </w:r>
    </w:p>
    <w:p w14:paraId="275735E8">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1256030" cy="399415"/>
            <wp:effectExtent l="0" t="0" r="1270" b="0"/>
            <wp:docPr id="18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49"/>
                    <pic:cNvPicPr>
                      <a:picLocks noChangeAspect="1"/>
                    </pic:cNvPicPr>
                  </pic:nvPicPr>
                  <pic:blipFill>
                    <a:blip r:embed="rId168">
                      <a:clrChange>
                        <a:clrFrom>
                          <a:srgbClr val="FFFFFF"/>
                        </a:clrFrom>
                        <a:clrTo>
                          <a:srgbClr val="FFFFFF">
                            <a:alpha val="0"/>
                          </a:srgbClr>
                        </a:clrTo>
                      </a:clrChange>
                      <a:lum/>
                    </a:blip>
                    <a:stretch>
                      <a:fillRect/>
                    </a:stretch>
                  </pic:blipFill>
                  <pic:spPr>
                    <a:xfrm>
                      <a:off x="0" y="0"/>
                      <a:ext cx="1256030"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79" o:spt="75" type="#_x0000_t75" style="height:34.2pt;width:57.05pt;" o:ole="t" filled="f" o:preferrelative="t" stroked="f" coordsize="21600,21600">
            <v:path/>
            <v:fill on="f" focussize="0,0"/>
            <v:stroke on="f" joinstyle="miter"/>
            <v:imagedata r:id="rId170" o:title=""/>
            <o:lock v:ext="edit" aspectratio="t"/>
            <w10:wrap type="none"/>
            <w10:anchorlock/>
          </v:shape>
          <o:OLEObject Type="Embed" ProgID="Equation.3" ShapeID="_x0000_i1079" DrawAspect="Content" ObjectID="_1468075779" r:id="rId169">
            <o:LockedField>false</o:LockedField>
          </o:OLEObject>
        </w:object>
      </w:r>
    </w:p>
    <w:p w14:paraId="4877D005">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1251585" cy="399415"/>
            <wp:effectExtent l="0" t="0" r="5715" b="635"/>
            <wp:docPr id="18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1"/>
                    <pic:cNvPicPr>
                      <a:picLocks noChangeAspect="1"/>
                    </pic:cNvPicPr>
                  </pic:nvPicPr>
                  <pic:blipFill>
                    <a:blip r:embed="rId171">
                      <a:clrChange>
                        <a:clrFrom>
                          <a:srgbClr val="FFFFFF"/>
                        </a:clrFrom>
                        <a:clrTo>
                          <a:srgbClr val="FFFFFF">
                            <a:alpha val="0"/>
                          </a:srgbClr>
                        </a:clrTo>
                      </a:clrChange>
                      <a:lum/>
                    </a:blip>
                    <a:stretch>
                      <a:fillRect/>
                    </a:stretch>
                  </pic:blipFill>
                  <pic:spPr>
                    <a:xfrm>
                      <a:off x="0" y="0"/>
                      <a:ext cx="1251585"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80" o:spt="75" type="#_x0000_t75" style="height:34.2pt;width:58.1pt;" o:ole="t" filled="f" o:preferrelative="t" stroked="f" coordsize="21600,21600">
            <v:path/>
            <v:fill on="f" focussize="0,0"/>
            <v:stroke on="f" joinstyle="miter"/>
            <v:imagedata r:id="rId173" o:title=""/>
            <o:lock v:ext="edit" aspectratio="t"/>
            <w10:wrap type="none"/>
            <w10:anchorlock/>
          </v:shape>
          <o:OLEObject Type="Embed" ProgID="Equation.3" ShapeID="_x0000_i1080" DrawAspect="Content" ObjectID="_1468075780" r:id="rId172">
            <o:LockedField>false</o:LockedField>
          </o:OLEObject>
        </w:object>
      </w:r>
    </w:p>
    <w:p w14:paraId="12150C7A">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21"/>
          <w:sz w:val="21"/>
          <w:szCs w:val="21"/>
        </w:rPr>
        <w:drawing>
          <wp:inline distT="0" distB="0" distL="114300" distR="114300">
            <wp:extent cx="1968500" cy="399415"/>
            <wp:effectExtent l="0" t="0" r="12700" b="635"/>
            <wp:docPr id="18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53"/>
                    <pic:cNvPicPr>
                      <a:picLocks noChangeAspect="1"/>
                    </pic:cNvPicPr>
                  </pic:nvPicPr>
                  <pic:blipFill>
                    <a:blip r:embed="rId174">
                      <a:clrChange>
                        <a:clrFrom>
                          <a:srgbClr val="FFFFFF"/>
                        </a:clrFrom>
                        <a:clrTo>
                          <a:srgbClr val="FFFFFF">
                            <a:alpha val="0"/>
                          </a:srgbClr>
                        </a:clrTo>
                      </a:clrChange>
                      <a:lum/>
                    </a:blip>
                    <a:stretch>
                      <a:fillRect/>
                    </a:stretch>
                  </pic:blipFill>
                  <pic:spPr>
                    <a:xfrm>
                      <a:off x="0" y="0"/>
                      <a:ext cx="1968500"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81" o:spt="75" type="#_x0000_t75" style="height:34.95pt;width:90.9pt;" o:ole="t" filled="f" o:preferrelative="t" stroked="f" coordsize="21600,21600">
            <v:path/>
            <v:fill on="f" focussize="0,0"/>
            <v:stroke on="f" joinstyle="miter"/>
            <v:imagedata r:id="rId176" o:title=""/>
            <o:lock v:ext="edit" aspectratio="t"/>
            <w10:wrap type="none"/>
            <w10:anchorlock/>
          </v:shape>
          <o:OLEObject Type="Embed" ProgID="Equation.3" ShapeID="_x0000_i1081" DrawAspect="Content" ObjectID="_1468075781" r:id="rId175">
            <o:LockedField>false</o:LockedField>
          </o:OLEObject>
        </w:object>
      </w:r>
    </w:p>
    <w:p w14:paraId="1F101CDF">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w:t>
      </w:r>
    </w:p>
    <w:p w14:paraId="1B8B75E7">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30"/>
          <w:sz w:val="21"/>
          <w:szCs w:val="21"/>
        </w:rPr>
        <w:object>
          <v:shape id="_x0000_i1082" o:spt="75" type="#_x0000_t75" style="height:39.55pt;width:173.25pt;" o:ole="t" filled="f" o:preferrelative="t" stroked="f" coordsize="21600,21600">
            <v:path/>
            <v:fill on="f" focussize="0,0"/>
            <v:stroke on="f" joinstyle="miter"/>
            <v:imagedata r:id="rId178" o:title=""/>
            <o:lock v:ext="edit" aspectratio="t"/>
            <w10:wrap type="none"/>
            <w10:anchorlock/>
          </v:shape>
          <o:OLEObject Type="Embed" ProgID="Equation.3" ShapeID="_x0000_i1082" DrawAspect="Content" ObjectID="_1468075782" r:id="rId177">
            <o:LockedField>false</o:LockedField>
          </o:OLEObject>
        </w:object>
      </w:r>
    </w:p>
    <w:p w14:paraId="6FF71B79">
      <w:pPr>
        <w:pageBreakBefore w:val="0"/>
        <w:widowControl w:val="0"/>
        <w:kinsoku/>
        <w:wordWrap/>
        <w:overflowPunct/>
        <w:topLinePunct w:val="0"/>
        <w:autoSpaceDE/>
        <w:autoSpaceDN/>
        <w:bidi w:val="0"/>
        <w:adjustRightInd/>
        <w:snapToGrid/>
        <w:spacing w:line="26" w:lineRule="atLeast"/>
        <w:ind w:firstLine="420" w:firstLineChars="200"/>
        <w:jc w:val="left"/>
        <w:textAlignment w:val="auto"/>
        <w:rPr>
          <w:rFonts w:hint="default" w:ascii="Times New Roman" w:hAnsi="Times New Roman" w:eastAsia="宋体" w:cs="Times New Roman"/>
          <w:position w:val="-30"/>
          <w:sz w:val="21"/>
          <w:szCs w:val="21"/>
        </w:rPr>
      </w:pPr>
      <w:r>
        <w:rPr>
          <w:rFonts w:hint="default" w:ascii="Times New Roman" w:hAnsi="Times New Roman" w:eastAsia="宋体" w:cs="Times New Roman"/>
          <w:position w:val="-30"/>
          <w:sz w:val="21"/>
          <w:szCs w:val="21"/>
        </w:rPr>
        <w:t>式中：</w:t>
      </w:r>
    </w:p>
    <w:p w14:paraId="35B83CC6">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73355" cy="293370"/>
            <wp:effectExtent l="0" t="0" r="17145" b="13335"/>
            <wp:docPr id="18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56"/>
                    <pic:cNvPicPr>
                      <a:picLocks noChangeAspect="1"/>
                    </pic:cNvPicPr>
                  </pic:nvPicPr>
                  <pic:blipFill>
                    <a:blip r:embed="rId179">
                      <a:clrChange>
                        <a:clrFrom>
                          <a:srgbClr val="FFFFFF"/>
                        </a:clrFrom>
                        <a:clrTo>
                          <a:srgbClr val="FFFFFF">
                            <a:alpha val="0"/>
                          </a:srgbClr>
                        </a:clrTo>
                      </a:clrChange>
                      <a:lum/>
                    </a:blip>
                    <a:stretch>
                      <a:fillRect/>
                    </a:stretch>
                  </pic:blipFill>
                  <pic:spPr>
                    <a:xfrm>
                      <a:off x="0" y="0"/>
                      <a:ext cx="1733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position w:val="-14"/>
          <w:sz w:val="21"/>
          <w:szCs w:val="21"/>
        </w:rPr>
        <w:drawing>
          <wp:inline distT="0" distB="0" distL="114300" distR="114300">
            <wp:extent cx="192405" cy="240665"/>
            <wp:effectExtent l="0" t="0" r="0" b="5080"/>
            <wp:docPr id="18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57"/>
                    <pic:cNvPicPr>
                      <a:picLocks noChangeAspect="1"/>
                    </pic:cNvPicPr>
                  </pic:nvPicPr>
                  <pic:blipFill>
                    <a:blip r:embed="rId180">
                      <a:lum/>
                    </a:blip>
                    <a:stretch>
                      <a:fillRect/>
                    </a:stretch>
                  </pic:blipFill>
                  <pic:spPr>
                    <a:xfrm>
                      <a:off x="0" y="0"/>
                      <a:ext cx="192405" cy="24066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w:t>
      </w:r>
      <w:r>
        <w:rPr>
          <w:rFonts w:hint="default" w:ascii="Times New Roman" w:hAnsi="Times New Roman" w:eastAsia="宋体" w:cs="Times New Roman"/>
          <w:i/>
          <w:iCs/>
          <w:sz w:val="21"/>
          <w:szCs w:val="21"/>
        </w:rPr>
        <w:t>T</w:t>
      </w:r>
      <w:r>
        <w:rPr>
          <w:rFonts w:hint="default" w:ascii="Times New Roman" w:hAnsi="Times New Roman" w:eastAsia="宋体" w:cs="Times New Roman"/>
          <w:sz w:val="21"/>
          <w:szCs w:val="21"/>
          <w:vertAlign w:val="subscript"/>
        </w:rPr>
        <w:t>1</w:t>
      </w:r>
      <w:r>
        <w:rPr>
          <w:rFonts w:hint="default" w:ascii="Times New Roman" w:hAnsi="Times New Roman" w:eastAsia="宋体" w:cs="Times New Roman"/>
          <w:sz w:val="21"/>
          <w:szCs w:val="21"/>
        </w:rPr>
        <w:t>统计量；</w:t>
      </w:r>
    </w:p>
    <w:p w14:paraId="08B5A793">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drawing>
          <wp:inline distT="0" distB="0" distL="114300" distR="114300">
            <wp:extent cx="216535" cy="240665"/>
            <wp:effectExtent l="0" t="0" r="12065" b="5080"/>
            <wp:docPr id="18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8"/>
                    <pic:cNvPicPr>
                      <a:picLocks noChangeAspect="1"/>
                    </pic:cNvPicPr>
                  </pic:nvPicPr>
                  <pic:blipFill>
                    <a:blip r:embed="rId181">
                      <a:lum/>
                    </a:blip>
                    <a:stretch>
                      <a:fillRect/>
                    </a:stretch>
                  </pic:blipFill>
                  <pic:spPr>
                    <a:xfrm>
                      <a:off x="0" y="0"/>
                      <a:ext cx="216535" cy="240665"/>
                    </a:xfrm>
                    <a:prstGeom prst="rect">
                      <a:avLst/>
                    </a:prstGeom>
                    <a:noFill/>
                    <a:ln>
                      <a:noFill/>
                    </a:ln>
                  </pic:spPr>
                </pic:pic>
              </a:graphicData>
            </a:graphic>
          </wp:inline>
        </w:drawing>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73355" cy="293370"/>
            <wp:effectExtent l="0" t="0" r="17145" b="13335"/>
            <wp:docPr id="18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9"/>
                    <pic:cNvPicPr>
                      <a:picLocks noChangeAspect="1"/>
                    </pic:cNvPicPr>
                  </pic:nvPicPr>
                  <pic:blipFill>
                    <a:blip r:embed="rId182">
                      <a:clrChange>
                        <a:clrFrom>
                          <a:srgbClr val="FFFFFF"/>
                        </a:clrFrom>
                        <a:clrTo>
                          <a:srgbClr val="FFFFFF">
                            <a:alpha val="0"/>
                          </a:srgbClr>
                        </a:clrTo>
                      </a:clrChange>
                      <a:lum/>
                    </a:blip>
                    <a:stretch>
                      <a:fillRect/>
                    </a:stretch>
                  </pic:blipFill>
                  <pic:spPr>
                    <a:xfrm>
                      <a:off x="0" y="0"/>
                      <a:ext cx="1733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w:t>
      </w:r>
      <w:r>
        <w:rPr>
          <w:rFonts w:hint="default" w:ascii="Times New Roman" w:hAnsi="Times New Roman" w:eastAsia="宋体" w:cs="Times New Roman"/>
          <w:i/>
          <w:iCs/>
          <w:sz w:val="21"/>
          <w:szCs w:val="21"/>
        </w:rPr>
        <w:t>T</w:t>
      </w:r>
      <w:r>
        <w:rPr>
          <w:rFonts w:hint="default" w:ascii="Times New Roman" w:hAnsi="Times New Roman" w:eastAsia="宋体" w:cs="Times New Roman"/>
          <w:i/>
          <w:iCs/>
          <w:sz w:val="21"/>
          <w:szCs w:val="21"/>
          <w:vertAlign w:val="subscript"/>
        </w:rPr>
        <w:t>2</w:t>
      </w:r>
      <w:r>
        <w:rPr>
          <w:rFonts w:hint="default" w:ascii="Times New Roman" w:hAnsi="Times New Roman" w:eastAsia="宋体" w:cs="Times New Roman"/>
          <w:sz w:val="21"/>
          <w:szCs w:val="21"/>
        </w:rPr>
        <w:t>统计量；</w:t>
      </w:r>
    </w:p>
    <w:p w14:paraId="482E6E33">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drawing>
          <wp:inline distT="0" distB="0" distL="114300" distR="114300">
            <wp:extent cx="201930" cy="240665"/>
            <wp:effectExtent l="0" t="0" r="7620" b="5080"/>
            <wp:docPr id="18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0"/>
                    <pic:cNvPicPr>
                      <a:picLocks noChangeAspect="1"/>
                    </pic:cNvPicPr>
                  </pic:nvPicPr>
                  <pic:blipFill>
                    <a:blip r:embed="rId183">
                      <a:lum/>
                    </a:blip>
                    <a:stretch>
                      <a:fillRect/>
                    </a:stretch>
                  </pic:blipFill>
                  <pic:spPr>
                    <a:xfrm>
                      <a:off x="0" y="0"/>
                      <a:ext cx="201930" cy="240665"/>
                    </a:xfrm>
                    <a:prstGeom prst="rect">
                      <a:avLst/>
                    </a:prstGeom>
                    <a:noFill/>
                    <a:ln>
                      <a:noFill/>
                    </a:ln>
                  </pic:spPr>
                </pic:pic>
              </a:graphicData>
            </a:graphic>
          </wp:inline>
        </w:drawing>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73355" cy="293370"/>
            <wp:effectExtent l="0" t="0" r="17145" b="13335"/>
            <wp:docPr id="18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61"/>
                    <pic:cNvPicPr>
                      <a:picLocks noChangeAspect="1"/>
                    </pic:cNvPicPr>
                  </pic:nvPicPr>
                  <pic:blipFill>
                    <a:blip r:embed="rId184">
                      <a:clrChange>
                        <a:clrFrom>
                          <a:srgbClr val="FFFFFF"/>
                        </a:clrFrom>
                        <a:clrTo>
                          <a:srgbClr val="FFFFFF">
                            <a:alpha val="0"/>
                          </a:srgbClr>
                        </a:clrTo>
                      </a:clrChange>
                      <a:lum/>
                    </a:blip>
                    <a:stretch>
                      <a:fillRect/>
                    </a:stretch>
                  </pic:blipFill>
                  <pic:spPr>
                    <a:xfrm>
                      <a:off x="0" y="0"/>
                      <a:ext cx="1733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w:t>
      </w:r>
      <w:r>
        <w:rPr>
          <w:rFonts w:hint="default" w:ascii="Times New Roman" w:hAnsi="Times New Roman" w:eastAsia="宋体" w:cs="Times New Roman"/>
          <w:i/>
          <w:iCs/>
          <w:sz w:val="21"/>
          <w:szCs w:val="21"/>
        </w:rPr>
        <w:t>T</w:t>
      </w:r>
      <w:r>
        <w:rPr>
          <w:rFonts w:hint="default" w:ascii="Times New Roman" w:hAnsi="Times New Roman" w:eastAsia="宋体" w:cs="Times New Roman"/>
          <w:i/>
          <w:iCs/>
          <w:sz w:val="21"/>
          <w:szCs w:val="21"/>
          <w:vertAlign w:val="subscript"/>
        </w:rPr>
        <w:t>3</w:t>
      </w:r>
      <w:r>
        <w:rPr>
          <w:rFonts w:hint="default" w:ascii="Times New Roman" w:hAnsi="Times New Roman" w:eastAsia="宋体" w:cs="Times New Roman"/>
          <w:sz w:val="21"/>
          <w:szCs w:val="21"/>
        </w:rPr>
        <w:t>统计量；</w:t>
      </w:r>
    </w:p>
    <w:p w14:paraId="3D465E59">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drawing>
          <wp:inline distT="0" distB="0" distL="114300" distR="114300">
            <wp:extent cx="216535" cy="240665"/>
            <wp:effectExtent l="0" t="0" r="12065" b="5080"/>
            <wp:docPr id="18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2"/>
                    <pic:cNvPicPr>
                      <a:picLocks noChangeAspect="1"/>
                    </pic:cNvPicPr>
                  </pic:nvPicPr>
                  <pic:blipFill>
                    <a:blip r:embed="rId185">
                      <a:lum/>
                    </a:blip>
                    <a:stretch>
                      <a:fillRect/>
                    </a:stretch>
                  </pic:blipFill>
                  <pic:spPr>
                    <a:xfrm>
                      <a:off x="0" y="0"/>
                      <a:ext cx="216535" cy="240665"/>
                    </a:xfrm>
                    <a:prstGeom prst="rect">
                      <a:avLst/>
                    </a:prstGeom>
                    <a:noFill/>
                    <a:ln>
                      <a:noFill/>
                    </a:ln>
                  </pic:spPr>
                </pic:pic>
              </a:graphicData>
            </a:graphic>
          </wp:inline>
        </w:drawing>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73355" cy="293370"/>
            <wp:effectExtent l="0" t="0" r="17145" b="13335"/>
            <wp:docPr id="19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63"/>
                    <pic:cNvPicPr>
                      <a:picLocks noChangeAspect="1"/>
                    </pic:cNvPicPr>
                  </pic:nvPicPr>
                  <pic:blipFill>
                    <a:blip r:embed="rId186">
                      <a:clrChange>
                        <a:clrFrom>
                          <a:srgbClr val="FFFFFF"/>
                        </a:clrFrom>
                        <a:clrTo>
                          <a:srgbClr val="FFFFFF">
                            <a:alpha val="0"/>
                          </a:srgbClr>
                        </a:clrTo>
                      </a:clrChange>
                      <a:lum/>
                    </a:blip>
                    <a:stretch>
                      <a:fillRect/>
                    </a:stretch>
                  </pic:blipFill>
                  <pic:spPr>
                    <a:xfrm>
                      <a:off x="0" y="0"/>
                      <a:ext cx="1733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w:t>
      </w:r>
      <w:r>
        <w:rPr>
          <w:rFonts w:hint="default" w:ascii="Times New Roman" w:hAnsi="Times New Roman" w:eastAsia="宋体" w:cs="Times New Roman"/>
          <w:i/>
          <w:iCs/>
          <w:sz w:val="21"/>
          <w:szCs w:val="21"/>
        </w:rPr>
        <w:t>T</w:t>
      </w:r>
      <w:r>
        <w:rPr>
          <w:rFonts w:hint="default" w:ascii="Times New Roman" w:hAnsi="Times New Roman" w:eastAsia="宋体" w:cs="Times New Roman"/>
          <w:i/>
          <w:iCs/>
          <w:sz w:val="21"/>
          <w:szCs w:val="21"/>
          <w:vertAlign w:val="subscript"/>
        </w:rPr>
        <w:t>4</w:t>
      </w:r>
      <w:r>
        <w:rPr>
          <w:rFonts w:hint="default" w:ascii="Times New Roman" w:hAnsi="Times New Roman" w:eastAsia="宋体" w:cs="Times New Roman"/>
          <w:sz w:val="21"/>
          <w:szCs w:val="21"/>
        </w:rPr>
        <w:t>统计量；</w:t>
      </w:r>
    </w:p>
    <w:p w14:paraId="4745A80A">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drawing>
          <wp:inline distT="0" distB="0" distL="114300" distR="114300">
            <wp:extent cx="201930" cy="240665"/>
            <wp:effectExtent l="0" t="0" r="7620" b="5080"/>
            <wp:docPr id="19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64"/>
                    <pic:cNvPicPr>
                      <a:picLocks noChangeAspect="1"/>
                    </pic:cNvPicPr>
                  </pic:nvPicPr>
                  <pic:blipFill>
                    <a:blip r:embed="rId187">
                      <a:lum/>
                    </a:blip>
                    <a:stretch>
                      <a:fillRect/>
                    </a:stretch>
                  </pic:blipFill>
                  <pic:spPr>
                    <a:xfrm>
                      <a:off x="0" y="0"/>
                      <a:ext cx="201930" cy="240665"/>
                    </a:xfrm>
                    <a:prstGeom prst="rect">
                      <a:avLst/>
                    </a:prstGeom>
                    <a:noFill/>
                    <a:ln>
                      <a:noFill/>
                    </a:ln>
                  </pic:spPr>
                </pic:pic>
              </a:graphicData>
            </a:graphic>
          </wp:inline>
        </w:drawing>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73355" cy="293370"/>
            <wp:effectExtent l="0" t="0" r="17145" b="13335"/>
            <wp:docPr id="19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65"/>
                    <pic:cNvPicPr>
                      <a:picLocks noChangeAspect="1"/>
                    </pic:cNvPicPr>
                  </pic:nvPicPr>
                  <pic:blipFill>
                    <a:blip r:embed="rId188">
                      <a:clrChange>
                        <a:clrFrom>
                          <a:srgbClr val="FFFFFF"/>
                        </a:clrFrom>
                        <a:clrTo>
                          <a:srgbClr val="FFFFFF">
                            <a:alpha val="0"/>
                          </a:srgbClr>
                        </a:clrTo>
                      </a:clrChange>
                      <a:lum/>
                    </a:blip>
                    <a:stretch>
                      <a:fillRect/>
                    </a:stretch>
                  </pic:blipFill>
                  <pic:spPr>
                    <a:xfrm>
                      <a:off x="0" y="0"/>
                      <a:ext cx="17335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w:t>
      </w:r>
      <w:r>
        <w:rPr>
          <w:rFonts w:hint="default" w:ascii="Times New Roman" w:hAnsi="Times New Roman" w:eastAsia="宋体" w:cs="Times New Roman"/>
          <w:i/>
          <w:iCs/>
          <w:sz w:val="21"/>
          <w:szCs w:val="21"/>
        </w:rPr>
        <w:t>T</w:t>
      </w:r>
      <w:r>
        <w:rPr>
          <w:rFonts w:hint="default" w:ascii="Times New Roman" w:hAnsi="Times New Roman" w:eastAsia="宋体" w:cs="Times New Roman"/>
          <w:i/>
          <w:iCs/>
          <w:sz w:val="21"/>
          <w:szCs w:val="21"/>
          <w:vertAlign w:val="subscript"/>
        </w:rPr>
        <w:t>5</w:t>
      </w:r>
      <w:r>
        <w:rPr>
          <w:rFonts w:hint="default" w:ascii="Times New Roman" w:hAnsi="Times New Roman" w:eastAsia="宋体" w:cs="Times New Roman"/>
          <w:sz w:val="21"/>
          <w:szCs w:val="21"/>
        </w:rPr>
        <w:t>统计量；</w:t>
      </w:r>
    </w:p>
    <w:p w14:paraId="52EA1697">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22"/>
          <w:sz w:val="21"/>
          <w:szCs w:val="21"/>
        </w:rPr>
        <w:drawing>
          <wp:inline distT="0" distB="0" distL="114300" distR="114300">
            <wp:extent cx="177800" cy="298450"/>
            <wp:effectExtent l="0" t="0" r="12700" b="3810"/>
            <wp:docPr id="19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66"/>
                    <pic:cNvPicPr>
                      <a:picLocks noChangeAspect="1"/>
                    </pic:cNvPicPr>
                  </pic:nvPicPr>
                  <pic:blipFill>
                    <a:blip r:embed="rId189">
                      <a:clrChange>
                        <a:clrFrom>
                          <a:srgbClr val="FFFFFF"/>
                        </a:clrFrom>
                        <a:clrTo>
                          <a:srgbClr val="FFFFFF">
                            <a:alpha val="0"/>
                          </a:srgbClr>
                        </a:clrTo>
                      </a:clrChange>
                      <a:lum/>
                    </a:blip>
                    <a:stretch>
                      <a:fillRect/>
                    </a:stretch>
                  </pic:blipFill>
                  <pic:spPr>
                    <a:xfrm>
                      <a:off x="0" y="0"/>
                      <a:ext cx="177800" cy="298450"/>
                    </a:xfrm>
                    <a:prstGeom prst="rect">
                      <a:avLst/>
                    </a:prstGeom>
                    <a:noFill/>
                    <a:ln>
                      <a:noFill/>
                    </a:ln>
                  </pic:spPr>
                </pic:pic>
              </a:graphicData>
            </a:graphic>
          </wp:inline>
        </w:drawing>
      </w:r>
      <w:r>
        <w:rPr>
          <w:rFonts w:hint="eastAsia" w:ascii="Times New Roman" w:hAnsi="Times New Roman" w:cs="Times New Roman"/>
          <w:position w:val="-22"/>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63830" cy="293370"/>
            <wp:effectExtent l="0" t="0" r="7620" b="14605"/>
            <wp:docPr id="19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7"/>
                    <pic:cNvPicPr>
                      <a:picLocks noChangeAspect="1"/>
                    </pic:cNvPicPr>
                  </pic:nvPicPr>
                  <pic:blipFill>
                    <a:blip r:embed="rId190">
                      <a:clrChange>
                        <a:clrFrom>
                          <a:srgbClr val="FFFFFF"/>
                        </a:clrFrom>
                        <a:clrTo>
                          <a:srgbClr val="FFFFFF">
                            <a:alpha val="0"/>
                          </a:srgbClr>
                        </a:clrTo>
                      </a:clrChange>
                      <a:lum/>
                    </a:blip>
                    <a:stretch>
                      <a:fillRect/>
                    </a:stretch>
                  </pic:blipFill>
                  <pic:spPr>
                    <a:xfrm>
                      <a:off x="0" y="0"/>
                      <a:ext cx="16383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i</w:t>
      </w:r>
      <w:r>
        <w:rPr>
          <w:rFonts w:hint="default" w:ascii="Times New Roman" w:hAnsi="Times New Roman" w:eastAsia="宋体" w:cs="Times New Roman"/>
          <w:sz w:val="21"/>
          <w:szCs w:val="21"/>
        </w:rPr>
        <w:t>实验室</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水平的平行子样个数；</w:t>
      </w:r>
    </w:p>
    <w:p w14:paraId="5004246D">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44145" cy="293370"/>
            <wp:effectExtent l="0" t="0" r="8255" b="13970"/>
            <wp:docPr id="19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68"/>
                    <pic:cNvPicPr>
                      <a:picLocks noChangeAspect="1"/>
                    </pic:cNvPicPr>
                  </pic:nvPicPr>
                  <pic:blipFill>
                    <a:blip r:embed="rId191">
                      <a:clrChange>
                        <a:clrFrom>
                          <a:srgbClr val="FFFFFF"/>
                        </a:clrFrom>
                        <a:clrTo>
                          <a:srgbClr val="FFFFFF">
                            <a:alpha val="0"/>
                          </a:srgbClr>
                        </a:clrTo>
                      </a:clrChange>
                      <a:lum/>
                    </a:blip>
                    <a:stretch>
                      <a:fillRect/>
                    </a:stretch>
                  </pic:blipFill>
                  <pic:spPr>
                    <a:xfrm>
                      <a:off x="0" y="0"/>
                      <a:ext cx="14414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position w:val="-14"/>
          <w:sz w:val="21"/>
          <w:szCs w:val="21"/>
        </w:rPr>
        <w:drawing>
          <wp:inline distT="0" distB="0" distL="114300" distR="114300">
            <wp:extent cx="163830" cy="240665"/>
            <wp:effectExtent l="0" t="0" r="0" b="5715"/>
            <wp:docPr id="19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69"/>
                    <pic:cNvPicPr>
                      <a:picLocks noChangeAspect="1"/>
                    </pic:cNvPicPr>
                  </pic:nvPicPr>
                  <pic:blipFill>
                    <a:blip r:embed="rId192">
                      <a:lum/>
                    </a:blip>
                    <a:stretch>
                      <a:fillRect/>
                    </a:stretch>
                  </pic:blipFill>
                  <pic:spPr>
                    <a:xfrm>
                      <a:off x="0" y="0"/>
                      <a:ext cx="163830" cy="24066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i</w:t>
      </w:r>
      <w:r>
        <w:rPr>
          <w:rFonts w:hint="default" w:ascii="Times New Roman" w:hAnsi="Times New Roman" w:eastAsia="宋体" w:cs="Times New Roman"/>
          <w:sz w:val="21"/>
          <w:szCs w:val="21"/>
        </w:rPr>
        <w:t>实验室</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水平检测结果平均值（平行子样的平均值）；</w:t>
      </w:r>
    </w:p>
    <w:p w14:paraId="0D042810">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i/>
          <w:iCs/>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144145" cy="293370"/>
            <wp:effectExtent l="0" t="0" r="8255" b="13335"/>
            <wp:docPr id="19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70"/>
                    <pic:cNvPicPr>
                      <a:picLocks noChangeAspect="1"/>
                    </pic:cNvPicPr>
                  </pic:nvPicPr>
                  <pic:blipFill>
                    <a:blip r:embed="rId193">
                      <a:clrChange>
                        <a:clrFrom>
                          <a:srgbClr val="FFFFFF"/>
                        </a:clrFrom>
                        <a:clrTo>
                          <a:srgbClr val="FFFFFF">
                            <a:alpha val="0"/>
                          </a:srgbClr>
                        </a:clrTo>
                      </a:clrChange>
                      <a:lum/>
                    </a:blip>
                    <a:stretch>
                      <a:fillRect/>
                    </a:stretch>
                  </pic:blipFill>
                  <pic:spPr>
                    <a:xfrm>
                      <a:off x="0" y="0"/>
                      <a:ext cx="14414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14"/>
          <w:sz w:val="21"/>
          <w:szCs w:val="21"/>
        </w:rPr>
        <w:drawing>
          <wp:inline distT="0" distB="0" distL="114300" distR="114300">
            <wp:extent cx="163830" cy="255270"/>
            <wp:effectExtent l="0" t="0" r="7620" b="12700"/>
            <wp:docPr id="19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71"/>
                    <pic:cNvPicPr>
                      <a:picLocks noChangeAspect="1"/>
                    </pic:cNvPicPr>
                  </pic:nvPicPr>
                  <pic:blipFill>
                    <a:blip r:embed="rId194">
                      <a:lum/>
                    </a:blip>
                    <a:stretch>
                      <a:fillRect/>
                    </a:stretch>
                  </pic:blipFill>
                  <pic:spPr>
                    <a:xfrm>
                      <a:off x="0" y="0"/>
                      <a:ext cx="163830" cy="255270"/>
                    </a:xfrm>
                    <a:prstGeom prst="rect">
                      <a:avLst/>
                    </a:prstGeom>
                    <a:noFill/>
                    <a:ln>
                      <a:noFill/>
                    </a:ln>
                  </pic:spPr>
                </pic:pic>
              </a:graphicData>
            </a:graphic>
          </wp:inline>
        </w:drawing>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iCs/>
          <w:sz w:val="21"/>
          <w:szCs w:val="21"/>
        </w:rPr>
        <w:t>i</w:t>
      </w:r>
      <w:r>
        <w:rPr>
          <w:rFonts w:hint="default" w:ascii="Times New Roman" w:hAnsi="Times New Roman" w:eastAsia="宋体" w:cs="Times New Roman"/>
          <w:sz w:val="21"/>
          <w:szCs w:val="21"/>
        </w:rPr>
        <w:t>实验室</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水平3个平行子样检测结果的方差；</w:t>
      </w:r>
    </w:p>
    <w:p w14:paraId="16D58DA3">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i/>
          <w:iCs/>
          <w:sz w:val="21"/>
          <w:szCs w:val="21"/>
        </w:rPr>
        <w:t>p</w:t>
      </w:r>
      <w:r>
        <w:rPr>
          <w:rFonts w:hint="eastAsia" w:ascii="Times New Roman" w:hAnsi="Times New Roman" w:cs="Times New Roman"/>
          <w:i/>
          <w:iCs/>
          <w:sz w:val="21"/>
          <w:szCs w:val="21"/>
          <w:lang w:val="en-US" w:eastAsia="zh-CN"/>
        </w:rPr>
        <w:t xml:space="preserve">  </w:t>
      </w:r>
      <w:r>
        <w:rPr>
          <w:rFonts w:hint="default" w:ascii="Times New Roman" w:hAnsi="Times New Roman" w:eastAsia="宋体" w:cs="Times New Roman"/>
          <w:i/>
          <w:iCs/>
          <w:sz w:val="21"/>
          <w:szCs w:val="21"/>
        </w:rPr>
        <w:t>—</w:t>
      </w:r>
      <w:r>
        <w:rPr>
          <w:rFonts w:hint="default" w:ascii="Times New Roman" w:hAnsi="Times New Roman" w:eastAsia="宋体" w:cs="Times New Roman"/>
          <w:sz w:val="21"/>
          <w:szCs w:val="21"/>
        </w:rPr>
        <w:t>参加联合验证的实验室个数。</w:t>
      </w:r>
    </w:p>
    <w:p w14:paraId="1A9E26D0">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（2）方差（variance）组分估计</w:t>
      </w:r>
    </w:p>
    <w:p w14:paraId="64B2602B">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1）重复性方差（实验室内方差）</w:t>
      </w:r>
    </w:p>
    <w:p w14:paraId="064FD5D2">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35"/>
          <w:sz w:val="21"/>
          <w:szCs w:val="21"/>
        </w:rPr>
        <w:drawing>
          <wp:inline distT="0" distB="0" distL="114300" distR="114300">
            <wp:extent cx="4495165" cy="591820"/>
            <wp:effectExtent l="0" t="0" r="635" b="17780"/>
            <wp:docPr id="19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72"/>
                    <pic:cNvPicPr>
                      <a:picLocks noChangeAspect="1"/>
                    </pic:cNvPicPr>
                  </pic:nvPicPr>
                  <pic:blipFill>
                    <a:blip r:embed="rId195">
                      <a:clrChange>
                        <a:clrFrom>
                          <a:srgbClr val="FFFFFF"/>
                        </a:clrFrom>
                        <a:clrTo>
                          <a:srgbClr val="FFFFFF">
                            <a:alpha val="0"/>
                          </a:srgbClr>
                        </a:clrTo>
                      </a:clrChange>
                      <a:lum/>
                    </a:blip>
                    <a:stretch>
                      <a:fillRect/>
                    </a:stretch>
                  </pic:blipFill>
                  <pic:spPr>
                    <a:xfrm>
                      <a:off x="0" y="0"/>
                      <a:ext cx="4495165" cy="59182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62"/>
          <w:sz w:val="21"/>
          <w:szCs w:val="21"/>
        </w:rPr>
        <w:object>
          <v:shape id="_x0000_i1083" o:spt="75" type="#_x0000_t75" style="height:54.85pt;width:210.65pt;" o:ole="t" filled="f" o:preferrelative="t" stroked="f" coordsize="21600,21600">
            <v:path/>
            <v:fill on="f" focussize="0,0"/>
            <v:stroke on="f"/>
            <v:imagedata r:id="rId197" o:title=""/>
            <o:lock v:ext="edit" aspectratio="t"/>
            <w10:wrap type="none"/>
            <w10:anchorlock/>
          </v:shape>
          <o:OLEObject Type="Embed" ProgID="Equation.3" ShapeID="_x0000_i1083" DrawAspect="Content" ObjectID="_1468075783" r:id="rId196">
            <o:LockedField>false</o:LockedField>
          </o:OLEObject>
        </w:object>
      </w:r>
    </w:p>
    <w:p w14:paraId="6C128763">
      <w:pPr>
        <w:keepNext w:val="0"/>
        <w:keepLines w:val="0"/>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2）实验室间方差</w:t>
      </w:r>
    </w:p>
    <w:p w14:paraId="1B838BF3">
      <w:pPr>
        <w:keepNext w:val="0"/>
        <w:keepLines w:val="0"/>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当各实验室重复数</w:t>
      </w:r>
      <w:r>
        <w:rPr>
          <w:rFonts w:hint="default" w:ascii="Times New Roman" w:hAnsi="Times New Roman" w:eastAsia="宋体" w:cs="Times New Roman"/>
          <w:position w:val="-22"/>
          <w:sz w:val="21"/>
          <w:szCs w:val="21"/>
        </w:rPr>
        <w:drawing>
          <wp:inline distT="0" distB="0" distL="114300" distR="114300">
            <wp:extent cx="196850" cy="260350"/>
            <wp:effectExtent l="0" t="0" r="12700" b="3810"/>
            <wp:docPr id="20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74"/>
                    <pic:cNvPicPr>
                      <a:picLocks noChangeAspect="1"/>
                    </pic:cNvPicPr>
                  </pic:nvPicPr>
                  <pic:blipFill>
                    <a:blip r:embed="rId189">
                      <a:clrChange>
                        <a:clrFrom>
                          <a:srgbClr val="FFFFFF"/>
                        </a:clrFrom>
                        <a:clrTo>
                          <a:srgbClr val="FFFFFF">
                            <a:alpha val="0"/>
                          </a:srgbClr>
                        </a:clrTo>
                      </a:clrChange>
                      <a:lum/>
                    </a:blip>
                    <a:stretch>
                      <a:fillRect/>
                    </a:stretch>
                  </pic:blipFill>
                  <pic:spPr>
                    <a:xfrm>
                      <a:off x="0" y="0"/>
                      <a:ext cx="196850" cy="260350"/>
                    </a:xfrm>
                    <a:prstGeom prst="rect">
                      <a:avLst/>
                    </a:prstGeom>
                    <a:noFill/>
                    <a:ln>
                      <a:noFill/>
                    </a:ln>
                  </pic:spPr>
                </pic:pic>
              </a:graphicData>
            </a:graphic>
          </wp:inline>
        </w:drawing>
      </w:r>
      <w:r>
        <w:rPr>
          <w:rFonts w:hint="default" w:ascii="Times New Roman" w:hAnsi="Times New Roman" w:eastAsia="宋体" w:cs="Times New Roman"/>
          <w:sz w:val="21"/>
          <w:szCs w:val="21"/>
        </w:rPr>
        <w:t>不等时，需要计算平均的重复数</w:t>
      </w:r>
      <w:r>
        <w:rPr>
          <w:rFonts w:hint="default" w:ascii="Times New Roman" w:hAnsi="Times New Roman" w:eastAsia="宋体" w:cs="Times New Roman"/>
          <w:position w:val="-14"/>
          <w:sz w:val="21"/>
          <w:szCs w:val="21"/>
        </w:rPr>
        <w:object>
          <v:shape id="_x0000_i1084" o:spt="75" type="#_x0000_t75" style="height:18.95pt;width:16.1pt;" o:ole="t" filled="f" o:preferrelative="t" stroked="f" coordsize="21600,21600">
            <v:path/>
            <v:fill on="f" focussize="0,0"/>
            <v:stroke on="f"/>
            <v:imagedata r:id="rId199" o:title=""/>
            <o:lock v:ext="edit" aspectratio="t"/>
            <w10:wrap type="none"/>
            <w10:anchorlock/>
          </v:shape>
          <o:OLEObject Type="Embed" ProgID="Equation.3" ShapeID="_x0000_i1084" DrawAspect="Content" ObjectID="_1468075784" r:id="rId198">
            <o:LockedField>false</o:LockedField>
          </o:OLEObject>
        </w:object>
      </w:r>
      <w:r>
        <w:rPr>
          <w:rFonts w:hint="default" w:ascii="Times New Roman" w:hAnsi="Times New Roman" w:eastAsia="宋体" w:cs="Times New Roman"/>
          <w:sz w:val="21"/>
          <w:szCs w:val="21"/>
        </w:rPr>
        <w:t>，</w:t>
      </w:r>
    </w:p>
    <w:p w14:paraId="4D1B6BF3">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35"/>
          <w:sz w:val="21"/>
          <w:szCs w:val="21"/>
        </w:rPr>
        <w:drawing>
          <wp:inline distT="0" distB="0" distL="114300" distR="114300">
            <wp:extent cx="5389880" cy="591820"/>
            <wp:effectExtent l="0" t="0" r="1270" b="17780"/>
            <wp:docPr id="201"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76"/>
                    <pic:cNvPicPr>
                      <a:picLocks noChangeAspect="1"/>
                    </pic:cNvPicPr>
                  </pic:nvPicPr>
                  <pic:blipFill>
                    <a:blip r:embed="rId200">
                      <a:clrChange>
                        <a:clrFrom>
                          <a:srgbClr val="FFFFFF"/>
                        </a:clrFrom>
                        <a:clrTo>
                          <a:srgbClr val="FFFFFF">
                            <a:alpha val="0"/>
                          </a:srgbClr>
                        </a:clrTo>
                      </a:clrChange>
                      <a:lum/>
                    </a:blip>
                    <a:stretch>
                      <a:fillRect/>
                    </a:stretch>
                  </pic:blipFill>
                  <pic:spPr>
                    <a:xfrm>
                      <a:off x="0" y="0"/>
                      <a:ext cx="5389880" cy="59182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62"/>
          <w:sz w:val="21"/>
          <w:szCs w:val="21"/>
        </w:rPr>
        <w:object>
          <v:shape id="_x0000_i1085" o:spt="75" type="#_x0000_t75" style="height:54.65pt;width:238.55pt;" o:ole="t" filled="f" o:preferrelative="t" stroked="f" coordsize="21600,21600">
            <v:path/>
            <v:fill on="f" focussize="0,0"/>
            <v:stroke on="f"/>
            <v:imagedata r:id="rId202" o:title=""/>
            <o:lock v:ext="edit" aspectratio="t"/>
            <w10:wrap type="none"/>
            <w10:anchorlock/>
          </v:shape>
          <o:OLEObject Type="Embed" ProgID="Equation.3" ShapeID="_x0000_i1085" DrawAspect="Content" ObjectID="_1468075785" r:id="rId201">
            <o:LockedField>false</o:LockedField>
          </o:OLEObject>
        </w:object>
      </w:r>
    </w:p>
    <w:p w14:paraId="19BBB150">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所以实验室间方差</w:t>
      </w:r>
      <w:r>
        <w:rPr>
          <w:rFonts w:hint="default" w:ascii="Times New Roman" w:hAnsi="Times New Roman" w:eastAsia="宋体" w:cs="Times New Roman"/>
          <w:sz w:val="21"/>
          <w:szCs w:val="21"/>
        </w:rPr>
        <w:object>
          <v:shape id="_x0000_i1086" o:spt="75" type="#_x0000_t75" style="height:19.6pt;width:17.8pt;" o:ole="t" filled="f" o:preferrelative="t" stroked="f" coordsize="21600,21600">
            <v:path/>
            <v:fill on="f" focussize="0,0"/>
            <v:stroke on="f" joinstyle="miter"/>
            <v:imagedata r:id="rId98" o:title=""/>
            <o:lock v:ext="edit" aspectratio="t"/>
            <w10:wrap type="none"/>
            <w10:anchorlock/>
          </v:shape>
          <o:OLEObject Type="Embed" ProgID="Equation.3" ShapeID="_x0000_i1086" DrawAspect="Content" ObjectID="_1468075786" r:id="rId203">
            <o:LockedField>false</o:LockedField>
          </o:OLEObject>
        </w:object>
      </w:r>
      <w:r>
        <w:rPr>
          <w:rFonts w:hint="default" w:ascii="Times New Roman" w:hAnsi="Times New Roman" w:eastAsia="宋体" w:cs="Times New Roman"/>
          <w:sz w:val="21"/>
          <w:szCs w:val="21"/>
        </w:rPr>
        <w:t>:</w:t>
      </w:r>
    </w:p>
    <w:p w14:paraId="6BC4E38B">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9"/>
          <w:sz w:val="21"/>
          <w:szCs w:val="21"/>
        </w:rPr>
        <w:drawing>
          <wp:inline distT="0" distB="0" distL="114300" distR="114300">
            <wp:extent cx="4302760" cy="399415"/>
            <wp:effectExtent l="0" t="0" r="2540" b="635"/>
            <wp:docPr id="20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9"/>
                    <pic:cNvPicPr>
                      <a:picLocks noChangeAspect="1"/>
                    </pic:cNvPicPr>
                  </pic:nvPicPr>
                  <pic:blipFill>
                    <a:blip r:embed="rId204">
                      <a:clrChange>
                        <a:clrFrom>
                          <a:srgbClr val="FFFFFF"/>
                        </a:clrFrom>
                        <a:clrTo>
                          <a:srgbClr val="FFFFFF">
                            <a:alpha val="0"/>
                          </a:srgbClr>
                        </a:clrTo>
                      </a:clrChange>
                      <a:lum/>
                    </a:blip>
                    <a:stretch>
                      <a:fillRect/>
                    </a:stretch>
                  </pic:blipFill>
                  <pic:spPr>
                    <a:xfrm>
                      <a:off x="0" y="0"/>
                      <a:ext cx="4302760" cy="39941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28"/>
          <w:sz w:val="21"/>
          <w:szCs w:val="21"/>
        </w:rPr>
        <w:object>
          <v:shape id="_x0000_i1087" o:spt="75" type="#_x0000_t75" style="height:37.7pt;width:270.4pt;" o:ole="t" filled="f" o:preferrelative="t" stroked="f" coordsize="21600,21600">
            <v:path/>
            <v:fill on="f" focussize="0,0"/>
            <v:stroke on="f"/>
            <v:imagedata r:id="rId206" o:title=""/>
            <o:lock v:ext="edit" aspectratio="t"/>
            <w10:wrap type="none"/>
            <w10:anchorlock/>
          </v:shape>
          <o:OLEObject Type="Embed" ProgID="Equation.3" ShapeID="_x0000_i1087" DrawAspect="Content" ObjectID="_1468075787" r:id="rId205">
            <o:LockedField>false</o:LockedField>
          </o:OLEObject>
        </w:object>
      </w:r>
    </w:p>
    <w:p w14:paraId="72F0048B">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5520055" cy="991235"/>
            <wp:effectExtent l="0" t="0" r="0" b="0"/>
            <wp:docPr id="20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81"/>
                    <pic:cNvPicPr>
                      <a:picLocks noChangeAspect="1"/>
                    </pic:cNvPicPr>
                  </pic:nvPicPr>
                  <pic:blipFill>
                    <a:blip r:embed="rId207">
                      <a:clrChange>
                        <a:clrFrom>
                          <a:srgbClr val="FFFFFF"/>
                        </a:clrFrom>
                        <a:clrTo>
                          <a:srgbClr val="FFFFFF">
                            <a:alpha val="0"/>
                          </a:srgbClr>
                        </a:clrTo>
                      </a:clrChange>
                      <a:lum/>
                    </a:blip>
                    <a:stretch>
                      <a:fillRect/>
                    </a:stretch>
                  </pic:blipFill>
                  <pic:spPr>
                    <a:xfrm>
                      <a:off x="0" y="0"/>
                      <a:ext cx="5520055" cy="99123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62"/>
          <w:sz w:val="21"/>
          <w:szCs w:val="21"/>
        </w:rPr>
        <w:object>
          <v:shape id="_x0000_i1088" o:spt="75" type="#_x0000_t75" style="height:60.35pt;width:228.8pt;" o:ole="t" filled="f" o:preferrelative="t" stroked="f" coordsize="21600,21600">
            <v:path/>
            <v:fill on="f" focussize="0,0"/>
            <v:stroke on="f"/>
            <v:imagedata r:id="rId209" o:title=""/>
            <o:lock v:ext="edit" aspectratio="t"/>
            <w10:wrap type="none"/>
            <w10:anchorlock/>
          </v:shape>
          <o:OLEObject Type="Embed" ProgID="Equation.3" ShapeID="_x0000_i1088" DrawAspect="Content" ObjectID="_1468075788" r:id="rId208">
            <o:LockedField>false</o:LockedField>
          </o:OLEObject>
        </w:objec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36"/>
          <w:sz w:val="21"/>
          <w:szCs w:val="21"/>
        </w:rPr>
        <w:drawing>
          <wp:inline distT="0" distB="0" distL="114300" distR="114300">
            <wp:extent cx="3700780" cy="591820"/>
            <wp:effectExtent l="0" t="0" r="13970" b="0"/>
            <wp:docPr id="204"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83"/>
                    <pic:cNvPicPr>
                      <a:picLocks noChangeAspect="1"/>
                    </pic:cNvPicPr>
                  </pic:nvPicPr>
                  <pic:blipFill>
                    <a:blip r:embed="rId210">
                      <a:clrChange>
                        <a:clrFrom>
                          <a:srgbClr val="FFFFFF"/>
                        </a:clrFrom>
                        <a:clrTo>
                          <a:srgbClr val="FFFFFF">
                            <a:alpha val="0"/>
                          </a:srgbClr>
                        </a:clrTo>
                      </a:clrChange>
                      <a:lum/>
                    </a:blip>
                    <a:stretch>
                      <a:fillRect/>
                    </a:stretch>
                  </pic:blipFill>
                  <pic:spPr>
                    <a:xfrm>
                      <a:off x="0" y="0"/>
                      <a:ext cx="3700780" cy="59182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60"/>
          <w:sz w:val="21"/>
          <w:szCs w:val="21"/>
        </w:rPr>
        <w:object>
          <v:shape id="_x0000_i1089" o:spt="75" type="#_x0000_t75" style="height:48.6pt;width:188.25pt;" o:ole="t" filled="f" o:preferrelative="t" stroked="f" coordsize="21600,21600">
            <v:path/>
            <v:fill on="f" focussize="0,0"/>
            <v:stroke on="f"/>
            <v:imagedata r:id="rId212" o:title=""/>
            <o:lock v:ext="edit" aspectratio="t"/>
            <w10:wrap type="none"/>
            <w10:anchorlock/>
          </v:shape>
          <o:OLEObject Type="Embed" ProgID="Equation.3" ShapeID="_x0000_i1089" DrawAspect="Content" ObjectID="_1468075789" r:id="rId211">
            <o:LockedField>false</o:LockedField>
          </o:OLEObject>
        </w:object>
      </w:r>
    </w:p>
    <w:p w14:paraId="034C81DD">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34"/>
          <w:sz w:val="21"/>
          <w:szCs w:val="21"/>
        </w:rPr>
        <w:object>
          <v:shape id="_x0000_i1090" o:spt="75" type="#_x0000_t75" style="height:31.7pt;width:147.1pt;" o:ole="t" filled="f" o:preferrelative="t" stroked="f" coordsize="21600,21600">
            <v:path/>
            <v:fill on="f" focussize="0,0"/>
            <v:stroke on="f"/>
            <v:imagedata r:id="rId214" o:title=""/>
            <o:lock v:ext="edit" aspectratio="t"/>
            <w10:wrap type="none"/>
            <w10:anchorlock/>
          </v:shape>
          <o:OLEObject Type="Embed" ProgID="Equation.3" ShapeID="_x0000_i1090" DrawAspect="Content" ObjectID="_1468075790" r:id="rId213">
            <o:LockedField>false</o:LockedField>
          </o:OLEObject>
        </w:object>
      </w:r>
    </w:p>
    <w:p w14:paraId="662C37B7">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p>
    <w:p w14:paraId="59D0D230">
      <w:pPr>
        <w:pageBreakBefore w:val="0"/>
        <w:widowControl w:val="0"/>
        <w:kinsoku/>
        <w:wordWrap/>
        <w:overflowPunct/>
        <w:topLinePunct w:val="0"/>
        <w:autoSpaceDE/>
        <w:autoSpaceDN/>
        <w:bidi w:val="0"/>
        <w:adjustRightInd/>
        <w:snapToGrid/>
        <w:spacing w:line="26" w:lineRule="atLeast"/>
        <w:ind w:firstLine="422" w:firstLineChars="20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3）再现性方差</w:t>
      </w:r>
    </w:p>
    <w:p w14:paraId="58C38475">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4"/>
          <w:sz w:val="21"/>
          <w:szCs w:val="21"/>
        </w:rPr>
        <w:object>
          <v:shape id="_x0000_i1091" o:spt="75" type="#_x0000_t75" style="height:20.65pt;width:77.7pt;" o:ole="t" filled="f" o:preferrelative="t" stroked="f" coordsize="21600,21600">
            <v:path/>
            <v:fill on="f" focussize="0,0"/>
            <v:stroke on="f" joinstyle="miter"/>
            <v:imagedata r:id="rId216" o:title=""/>
            <o:lock v:ext="edit" aspectratio="t"/>
            <w10:wrap type="none"/>
            <w10:anchorlock/>
          </v:shape>
          <o:OLEObject Type="Embed" ProgID="Equation.3" ShapeID="_x0000_i1091" DrawAspect="Content" ObjectID="_1468075791" r:id="rId215">
            <o:LockedField>false</o:LockedField>
          </o:OLEObject>
        </w:object>
      </w:r>
    </w:p>
    <w:p w14:paraId="5BBC4024">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lang w:val="en-US" w:eastAsia="zh-CN" w:bidi="ar-SA"/>
        </w:rPr>
      </w:pPr>
      <w:r>
        <w:rPr>
          <w:rFonts w:hint="default" w:ascii="Times New Roman" w:hAnsi="Times New Roman" w:eastAsia="黑体" w:cs="Calibri"/>
          <w:b w:val="0"/>
          <w:bCs/>
          <w:kern w:val="2"/>
          <w:sz w:val="21"/>
          <w:szCs w:val="28"/>
          <w:lang w:val="en-US" w:eastAsia="zh-CN" w:bidi="ar-SA"/>
        </w:rPr>
        <w:t>2.3.1.1.3  相对标准差的计算</w:t>
      </w:r>
    </w:p>
    <w:p w14:paraId="77F687A3">
      <w:pPr>
        <w:keepNext w:val="0"/>
        <w:keepLines w:val="0"/>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highlight w:val="none"/>
        </w:rPr>
        <w:t>无论使用“</w:t>
      </w:r>
      <w:r>
        <w:rPr>
          <w:rFonts w:hint="eastAsia"/>
          <w:highlight w:val="none"/>
          <w:lang w:val="en-US" w:eastAsia="zh-CN"/>
        </w:rPr>
        <w:t>2.</w:t>
      </w:r>
      <w:r>
        <w:rPr>
          <w:highlight w:val="none"/>
        </w:rPr>
        <w:t>3.1.1.1”还是“</w:t>
      </w:r>
      <w:r>
        <w:rPr>
          <w:rFonts w:hint="eastAsia"/>
          <w:highlight w:val="none"/>
          <w:lang w:val="en-US" w:eastAsia="zh-CN"/>
        </w:rPr>
        <w:t>2.</w:t>
      </w:r>
      <w:r>
        <w:rPr>
          <w:highlight w:val="none"/>
        </w:rPr>
        <w:t>3.1.1.2”的计算方法，当获</w:t>
      </w:r>
      <w:r>
        <w:t>得重复性方差</w:t>
      </w:r>
      <w:r>
        <w:rPr>
          <w:rFonts w:hint="eastAsia"/>
          <w:i/>
          <w:iCs/>
          <w:lang w:val="en-US" w:eastAsia="zh-CN"/>
        </w:rPr>
        <w:t>s</w:t>
      </w:r>
      <w:r>
        <w:rPr>
          <w:rFonts w:hint="eastAsia"/>
          <w:vertAlign w:val="superscript"/>
          <w:lang w:val="en-US" w:eastAsia="zh-CN"/>
        </w:rPr>
        <w:t>2</w:t>
      </w:r>
      <w:r>
        <w:rPr>
          <w:i/>
          <w:iCs/>
          <w:vertAlign w:val="subscript"/>
        </w:rPr>
        <w:t>jr</w:t>
      </w:r>
      <w:r>
        <w:t>和再现性方差</w:t>
      </w:r>
      <w:r>
        <w:rPr>
          <w:rFonts w:hint="eastAsia"/>
          <w:i/>
          <w:iCs/>
          <w:lang w:val="en-US" w:eastAsia="zh-CN"/>
        </w:rPr>
        <w:t>s</w:t>
      </w:r>
      <w:r>
        <w:rPr>
          <w:rFonts w:hint="eastAsia"/>
          <w:i/>
          <w:iCs/>
          <w:vertAlign w:val="superscript"/>
          <w:lang w:val="en-US" w:eastAsia="zh-CN"/>
        </w:rPr>
        <w:t>2</w:t>
      </w:r>
      <w:r>
        <w:rPr>
          <w:i/>
          <w:iCs/>
          <w:vertAlign w:val="subscript"/>
        </w:rPr>
        <w:t>jR</w:t>
      </w:r>
      <w:r>
        <w:t>后，即可开方获得其相应的标准差，即重复性标准差</w:t>
      </w:r>
      <w:r>
        <w:rPr>
          <w:rFonts w:hint="eastAsia"/>
          <w:i/>
          <w:iCs/>
          <w:lang w:val="en-US" w:eastAsia="zh-CN"/>
        </w:rPr>
        <w:t>s</w:t>
      </w:r>
      <w:r>
        <w:rPr>
          <w:i/>
          <w:iCs/>
          <w:vertAlign w:val="subscript"/>
        </w:rPr>
        <w:t>jr</w:t>
      </w:r>
      <w:r>
        <w:t>和再现性标准差</w:t>
      </w:r>
      <w:r>
        <w:rPr>
          <w:rFonts w:hint="eastAsia"/>
          <w:i/>
          <w:iCs/>
          <w:lang w:val="en-US" w:eastAsia="zh-CN"/>
        </w:rPr>
        <w:t>s</w:t>
      </w:r>
      <w:r>
        <w:rPr>
          <w:i/>
          <w:iCs/>
          <w:vertAlign w:val="subscript"/>
        </w:rPr>
        <w:t>jR</w:t>
      </w:r>
      <w:r>
        <w:t>，从而可以计算出重复性相对标准差</w:t>
      </w:r>
      <w:r>
        <w:rPr>
          <w:i/>
          <w:iCs/>
        </w:rPr>
        <w:t>RSD</w:t>
      </w:r>
      <w:r>
        <w:rPr>
          <w:i/>
          <w:iCs/>
          <w:vertAlign w:val="subscript"/>
        </w:rPr>
        <w:t>jr</w:t>
      </w:r>
      <w:r>
        <w:t>和再现性相对标准差</w:t>
      </w:r>
      <w:r>
        <w:rPr>
          <w:i/>
          <w:iCs/>
        </w:rPr>
        <w:t>RSD</w:t>
      </w:r>
      <w:r>
        <w:rPr>
          <w:i/>
          <w:iCs/>
          <w:vertAlign w:val="subscript"/>
        </w:rPr>
        <w:t>jR</w:t>
      </w:r>
      <w:r>
        <w:t>，公式如下：</w:t>
      </w:r>
    </w:p>
    <w:p w14:paraId="0C726F48">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34"/>
          <w:sz w:val="21"/>
          <w:szCs w:val="21"/>
        </w:rPr>
        <w:drawing>
          <wp:inline distT="0" distB="0" distL="114300" distR="114300">
            <wp:extent cx="1007745" cy="360045"/>
            <wp:effectExtent l="0" t="0" r="1905" b="1905"/>
            <wp:docPr id="20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89"/>
                    <pic:cNvPicPr>
                      <a:picLocks noChangeAspect="1"/>
                    </pic:cNvPicPr>
                  </pic:nvPicPr>
                  <pic:blipFill>
                    <a:blip r:embed="rId217">
                      <a:lum/>
                    </a:blip>
                    <a:stretch>
                      <a:fillRect/>
                    </a:stretch>
                  </pic:blipFill>
                  <pic:spPr>
                    <a:xfrm>
                      <a:off x="0" y="0"/>
                      <a:ext cx="1007745" cy="360045"/>
                    </a:xfrm>
                    <a:prstGeom prst="rect">
                      <a:avLst/>
                    </a:prstGeom>
                    <a:noFill/>
                    <a:ln>
                      <a:noFill/>
                    </a:ln>
                  </pic:spPr>
                </pic:pic>
              </a:graphicData>
            </a:graphic>
          </wp:inline>
        </w:drawing>
      </w:r>
    </w:p>
    <w:p w14:paraId="1B48759D">
      <w:pPr>
        <w:pageBreakBefore w:val="0"/>
        <w:widowControl w:val="0"/>
        <w:kinsoku/>
        <w:wordWrap/>
        <w:overflowPunct/>
        <w:topLinePunct w:val="0"/>
        <w:autoSpaceDE/>
        <w:autoSpaceDN/>
        <w:bidi w:val="0"/>
        <w:adjustRightInd/>
        <w:snapToGrid/>
        <w:spacing w:line="26" w:lineRule="atLeast"/>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34"/>
          <w:sz w:val="21"/>
          <w:szCs w:val="21"/>
        </w:rPr>
        <w:drawing>
          <wp:inline distT="0" distB="0" distL="114300" distR="114300">
            <wp:extent cx="1007745" cy="360045"/>
            <wp:effectExtent l="0" t="0" r="1905" b="1905"/>
            <wp:docPr id="20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90"/>
                    <pic:cNvPicPr>
                      <a:picLocks noChangeAspect="1"/>
                    </pic:cNvPicPr>
                  </pic:nvPicPr>
                  <pic:blipFill>
                    <a:blip r:embed="rId218">
                      <a:lum/>
                    </a:blip>
                    <a:stretch>
                      <a:fillRect/>
                    </a:stretch>
                  </pic:blipFill>
                  <pic:spPr>
                    <a:xfrm>
                      <a:off x="0" y="0"/>
                      <a:ext cx="1007745" cy="360045"/>
                    </a:xfrm>
                    <a:prstGeom prst="rect">
                      <a:avLst/>
                    </a:prstGeom>
                    <a:noFill/>
                    <a:ln>
                      <a:noFill/>
                    </a:ln>
                  </pic:spPr>
                </pic:pic>
              </a:graphicData>
            </a:graphic>
          </wp:inline>
        </w:drawing>
      </w:r>
      <w:r>
        <w:rPr>
          <w:rFonts w:hint="default" w:ascii="Times New Roman" w:hAnsi="Times New Roman" w:eastAsia="宋体" w:cs="Times New Roman"/>
          <w:sz w:val="21"/>
          <w:szCs w:val="21"/>
        </w:rPr>
        <w:t>…</w:t>
      </w:r>
    </w:p>
    <w:p w14:paraId="01322C1D">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w:t>
      </w:r>
      <w:r>
        <w:rPr>
          <w:rFonts w:hint="default" w:ascii="Times New Roman" w:hAnsi="Times New Roman" w:eastAsia="宋体" w:cs="Times New Roman"/>
          <w:position w:val="-12"/>
          <w:sz w:val="21"/>
          <w:szCs w:val="21"/>
        </w:rPr>
        <w:drawing>
          <wp:inline distT="0" distB="0" distL="114300" distR="114300">
            <wp:extent cx="221615" cy="250190"/>
            <wp:effectExtent l="0" t="0" r="6350" b="17780"/>
            <wp:docPr id="209"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91"/>
                    <pic:cNvPicPr>
                      <a:picLocks noChangeAspect="1"/>
                    </pic:cNvPicPr>
                  </pic:nvPicPr>
                  <pic:blipFill>
                    <a:blip r:embed="rId219">
                      <a:lum/>
                    </a:blip>
                    <a:stretch>
                      <a:fillRect/>
                    </a:stretch>
                  </pic:blipFill>
                  <pic:spPr>
                    <a:xfrm>
                      <a:off x="0" y="0"/>
                      <a:ext cx="221615" cy="250190"/>
                    </a:xfrm>
                    <a:prstGeom prst="rect">
                      <a:avLst/>
                    </a:prstGeom>
                    <a:noFill/>
                    <a:ln>
                      <a:noFill/>
                    </a:ln>
                  </pic:spPr>
                </pic:pic>
              </a:graphicData>
            </a:graphic>
          </wp:inline>
        </w:drawing>
      </w:r>
      <w:r>
        <w:rPr>
          <w:rFonts w:hint="default" w:ascii="Times New Roman" w:hAnsi="Times New Roman" w:eastAsia="宋体" w:cs="Times New Roman"/>
          <w:sz w:val="21"/>
          <w:szCs w:val="21"/>
        </w:rPr>
        <w:t>—第</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水平的重复性标准差，</w:t>
      </w:r>
    </w:p>
    <w:p w14:paraId="241A7D93">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2"/>
          <w:sz w:val="21"/>
          <w:szCs w:val="21"/>
        </w:rPr>
        <w:drawing>
          <wp:inline distT="0" distB="0" distL="114300" distR="114300">
            <wp:extent cx="177800" cy="264795"/>
            <wp:effectExtent l="0" t="0" r="12700" b="1905"/>
            <wp:docPr id="210"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92"/>
                    <pic:cNvPicPr>
                      <a:picLocks noChangeAspect="1"/>
                    </pic:cNvPicPr>
                  </pic:nvPicPr>
                  <pic:blipFill>
                    <a:blip r:embed="rId220">
                      <a:lum/>
                    </a:blip>
                    <a:stretch>
                      <a:fillRect/>
                    </a:stretch>
                  </pic:blipFill>
                  <pic:spPr>
                    <a:xfrm>
                      <a:off x="0" y="0"/>
                      <a:ext cx="177800" cy="264795"/>
                    </a:xfrm>
                    <a:prstGeom prst="rect">
                      <a:avLst/>
                    </a:prstGeom>
                    <a:noFill/>
                    <a:ln>
                      <a:noFill/>
                    </a:ln>
                  </pic:spPr>
                </pic:pic>
              </a:graphicData>
            </a:graphic>
          </wp:inline>
        </w:drawing>
      </w:r>
      <w:r>
        <w:rPr>
          <w:rFonts w:hint="default" w:ascii="Times New Roman" w:hAnsi="Times New Roman" w:eastAsia="宋体" w:cs="Times New Roman"/>
          <w:sz w:val="21"/>
          <w:szCs w:val="21"/>
        </w:rPr>
        <w:t>—第</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水平的总平均值，</w:t>
      </w:r>
    </w:p>
    <w:p w14:paraId="252B02D5">
      <w:pPr>
        <w:pageBreakBefore w:val="0"/>
        <w:widowControl w:val="0"/>
        <w:kinsoku/>
        <w:wordWrap/>
        <w:overflowPunct/>
        <w:topLinePunct w:val="0"/>
        <w:autoSpaceDE/>
        <w:autoSpaceDN/>
        <w:bidi w:val="0"/>
        <w:adjustRightInd/>
        <w:snapToGrid/>
        <w:spacing w:line="26" w:lineRule="atLeas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2"/>
          <w:sz w:val="21"/>
          <w:szCs w:val="21"/>
        </w:rPr>
        <w:object>
          <v:shape id="_x0000_i1092" o:spt="75" type="#_x0000_t75" style="height:19.95pt;width:17.8pt;" o:ole="t" filled="f" o:preferrelative="t" stroked="f" coordsize="21600,21600">
            <v:path/>
            <v:fill on="f" focussize="0,0"/>
            <v:stroke on="f" joinstyle="miter"/>
            <v:imagedata r:id="rId222" o:title=""/>
            <o:lock v:ext="edit" aspectratio="t"/>
            <w10:wrap type="none"/>
            <w10:anchorlock/>
          </v:shape>
          <o:OLEObject Type="Embed" ProgID="Equation.3" ShapeID="_x0000_i1092" DrawAspect="Content" ObjectID="_1468075792" r:id="rId221">
            <o:LockedField>false</o:LockedField>
          </o:OLEObject>
        </w:object>
      </w:r>
      <w:r>
        <w:rPr>
          <w:rFonts w:hint="default" w:ascii="Times New Roman" w:hAnsi="Times New Roman" w:eastAsia="宋体" w:cs="Times New Roman"/>
          <w:sz w:val="21"/>
          <w:szCs w:val="21"/>
        </w:rPr>
        <w:t>—第</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水平的再现性标准差。</w:t>
      </w:r>
    </w:p>
    <w:p w14:paraId="2BBF1E7A">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2.3.1.2 精密度分析结果</w:t>
      </w:r>
    </w:p>
    <w:p w14:paraId="5F37BE58">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2.3.1.2.1 检测结果的平均值和标准差</w:t>
      </w:r>
    </w:p>
    <w:p w14:paraId="0ECF183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统计各实验室（共8个）、各水平（含量）样品（共5个）的检测结果平均值（</w:t>
      </w:r>
      <w:r>
        <w:rPr>
          <w:rFonts w:hint="default" w:ascii="Times New Roman" w:hAnsi="Times New Roman" w:eastAsia="宋体" w:cs="Times New Roman"/>
          <w:position w:val="-14"/>
          <w:sz w:val="21"/>
          <w:szCs w:val="21"/>
        </w:rPr>
        <w:drawing>
          <wp:inline distT="0" distB="0" distL="114300" distR="114300">
            <wp:extent cx="163195" cy="240030"/>
            <wp:effectExtent l="0" t="0" r="0" b="6350"/>
            <wp:docPr id="6" name="图片 69"/>
            <wp:cNvGraphicFramePr/>
            <a:graphic xmlns:a="http://schemas.openxmlformats.org/drawingml/2006/main">
              <a:graphicData uri="http://schemas.openxmlformats.org/drawingml/2006/picture">
                <pic:pic xmlns:pic="http://schemas.openxmlformats.org/drawingml/2006/picture">
                  <pic:nvPicPr>
                    <pic:cNvPr id="6" name="图片 69"/>
                    <pic:cNvPicPr/>
                  </pic:nvPicPr>
                  <pic:blipFill>
                    <a:blip r:embed="rId223"/>
                    <a:stretch>
                      <a:fillRect/>
                    </a:stretch>
                  </pic:blipFill>
                  <pic:spPr>
                    <a:xfrm>
                      <a:off x="0" y="0"/>
                      <a:ext cx="163195" cy="240030"/>
                    </a:xfrm>
                    <a:prstGeom prst="rect">
                      <a:avLst/>
                    </a:prstGeom>
                    <a:noFill/>
                    <a:ln>
                      <a:noFill/>
                    </a:ln>
                  </pic:spPr>
                </pic:pic>
              </a:graphicData>
            </a:graphic>
          </wp:inline>
        </w:drawing>
      </w:r>
      <w:r>
        <w:rPr>
          <w:rFonts w:hint="default" w:ascii="Times New Roman" w:hAnsi="Times New Roman" w:eastAsia="宋体" w:cs="Times New Roman"/>
          <w:sz w:val="21"/>
          <w:szCs w:val="21"/>
        </w:rPr>
        <w:t>）和标准差（</w:t>
      </w:r>
      <w:r>
        <w:rPr>
          <w:rFonts w:hint="default" w:ascii="Times New Roman" w:hAnsi="Times New Roman" w:eastAsia="宋体" w:cs="Times New Roman"/>
          <w:position w:val="-14"/>
          <w:sz w:val="21"/>
          <w:szCs w:val="21"/>
        </w:rPr>
        <w:drawing>
          <wp:inline distT="0" distB="0" distL="114300" distR="114300">
            <wp:extent cx="163195" cy="253365"/>
            <wp:effectExtent l="0" t="0" r="0" b="15240"/>
            <wp:docPr id="17" name="图片 70"/>
            <wp:cNvGraphicFramePr/>
            <a:graphic xmlns:a="http://schemas.openxmlformats.org/drawingml/2006/main">
              <a:graphicData uri="http://schemas.openxmlformats.org/drawingml/2006/picture">
                <pic:pic xmlns:pic="http://schemas.openxmlformats.org/drawingml/2006/picture">
                  <pic:nvPicPr>
                    <pic:cNvPr id="17" name="图片 70"/>
                    <pic:cNvPicPr/>
                  </pic:nvPicPr>
                  <pic:blipFill>
                    <a:blip r:embed="rId224"/>
                    <a:stretch>
                      <a:fillRect/>
                    </a:stretch>
                  </pic:blipFill>
                  <pic:spPr>
                    <a:xfrm>
                      <a:off x="0" y="0"/>
                      <a:ext cx="163195" cy="25336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161925" cy="295275"/>
            <wp:effectExtent l="0" t="0" r="9525" b="0"/>
            <wp:docPr id="7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9"/>
                    <pic:cNvPicPr>
                      <a:picLocks noChangeAspect="1"/>
                    </pic:cNvPicPr>
                  </pic:nvPicPr>
                  <pic:blipFill>
                    <a:blip r:embed="rId225">
                      <a:clrChange>
                        <a:clrFrom>
                          <a:srgbClr val="FFFFFF"/>
                        </a:clrFrom>
                        <a:clrTo>
                          <a:srgbClr val="FFFFFF">
                            <a:alpha val="0"/>
                          </a:srgbClr>
                        </a:clrTo>
                      </a:clrChange>
                      <a:lum/>
                    </a:blip>
                    <a:stretch>
                      <a:fillRect/>
                    </a:stretch>
                  </pic:blipFill>
                  <pic:spPr>
                    <a:xfrm>
                      <a:off x="0" y="0"/>
                      <a:ext cx="161925" cy="295275"/>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8和</w:t>
      </w:r>
      <w:r>
        <w:rPr>
          <w:rFonts w:hint="eastAsia" w:cs="Times New Roman"/>
          <w:sz w:val="21"/>
          <w:szCs w:val="21"/>
          <w:lang w:val="en-US" w:eastAsia="zh-CN"/>
        </w:rPr>
        <w:t>3</w:t>
      </w:r>
      <w:r>
        <w:rPr>
          <w:rFonts w:hint="default" w:ascii="Times New Roman" w:hAnsi="Times New Roman" w:eastAsia="宋体" w:cs="Times New Roman"/>
          <w:sz w:val="21"/>
          <w:szCs w:val="21"/>
        </w:rPr>
        <w:t>-9）。</w:t>
      </w:r>
    </w:p>
    <w:p w14:paraId="193AD12A">
      <w:pPr>
        <w:pStyle w:val="8"/>
        <w:keepNext/>
        <w:bidi w:val="0"/>
        <w:spacing w:line="240" w:lineRule="auto"/>
        <w:ind w:firstLine="0" w:firstLineChars="0"/>
        <w:jc w:val="center"/>
        <w:rPr>
          <w:rFonts w:ascii="Times New Roman" w:hAnsi="Times New Roman" w:eastAsia="黑体" w:cs="Calibri"/>
          <w:sz w:val="18"/>
          <w:szCs w:val="22"/>
        </w:rPr>
      </w:pPr>
      <w:r>
        <w:rPr>
          <w:rFonts w:hint="eastAsia" w:ascii="Times New Roman" w:hAnsi="Times New Roman" w:eastAsia="黑体" w:cs="Calibri"/>
          <w:sz w:val="18"/>
          <w:szCs w:val="22"/>
          <w:lang w:eastAsia="zh-CN"/>
        </w:rPr>
        <w:t>表</w:t>
      </w:r>
      <w:r>
        <w:rPr>
          <w:rFonts w:hint="eastAsia" w:ascii="Times New Roman" w:hAnsi="Times New Roman" w:eastAsia="黑体" w:cs="Calibri"/>
          <w:sz w:val="18"/>
          <w:szCs w:val="22"/>
          <w:lang w:val="en-US" w:eastAsia="zh-CN"/>
        </w:rPr>
        <w:t>3</w:t>
      </w:r>
      <w:r>
        <w:rPr>
          <w:rFonts w:hint="eastAsia" w:ascii="Times New Roman" w:hAnsi="Times New Roman" w:eastAsia="黑体" w:cs="Calibri"/>
          <w:sz w:val="18"/>
          <w:szCs w:val="22"/>
          <w:lang w:eastAsia="zh-CN"/>
        </w:rPr>
        <w:t>-</w:t>
      </w:r>
      <w:r>
        <w:rPr>
          <w:rFonts w:hint="eastAsia" w:ascii="Times New Roman" w:hAnsi="Times New Roman" w:eastAsia="黑体" w:cs="Calibri"/>
          <w:sz w:val="18"/>
          <w:szCs w:val="22"/>
        </w:rPr>
        <w:t>8</w:t>
      </w:r>
      <w:r>
        <w:rPr>
          <w:rFonts w:ascii="Times New Roman" w:hAnsi="Times New Roman" w:eastAsia="黑体" w:cs="Calibri"/>
          <w:sz w:val="18"/>
          <w:szCs w:val="22"/>
        </w:rPr>
        <w:t xml:space="preserve"> 8个实验室5个含量样品的检测平均值（</w:t>
      </w:r>
      <w:r>
        <w:rPr>
          <w:rFonts w:ascii="Times New Roman" w:hAnsi="Times New Roman" w:eastAsia="黑体" w:cs="Calibri"/>
          <w:sz w:val="18"/>
          <w:szCs w:val="22"/>
        </w:rPr>
        <w:drawing>
          <wp:inline distT="0" distB="0" distL="114300" distR="114300">
            <wp:extent cx="163195" cy="240030"/>
            <wp:effectExtent l="0" t="0" r="0" b="6350"/>
            <wp:docPr id="22" name="图片 71"/>
            <wp:cNvGraphicFramePr/>
            <a:graphic xmlns:a="http://schemas.openxmlformats.org/drawingml/2006/main">
              <a:graphicData uri="http://schemas.openxmlformats.org/drawingml/2006/picture">
                <pic:pic xmlns:pic="http://schemas.openxmlformats.org/drawingml/2006/picture">
                  <pic:nvPicPr>
                    <pic:cNvPr id="22" name="图片 71"/>
                    <pic:cNvPicPr/>
                  </pic:nvPicPr>
                  <pic:blipFill>
                    <a:blip r:embed="rId223"/>
                    <a:stretch>
                      <a:fillRect/>
                    </a:stretch>
                  </pic:blipFill>
                  <pic:spPr>
                    <a:xfrm>
                      <a:off x="0" y="0"/>
                      <a:ext cx="163195" cy="240030"/>
                    </a:xfrm>
                    <a:prstGeom prst="rect">
                      <a:avLst/>
                    </a:prstGeom>
                    <a:noFill/>
                    <a:ln>
                      <a:noFill/>
                    </a:ln>
                  </pic:spPr>
                </pic:pic>
              </a:graphicData>
            </a:graphic>
          </wp:inline>
        </w:drawing>
      </w:r>
      <w:r>
        <w:rPr>
          <w:rFonts w:ascii="Times New Roman" w:hAnsi="Times New Roman" w:eastAsia="黑体" w:cs="Calibri"/>
          <w:sz w:val="18"/>
          <w:szCs w:val="22"/>
        </w:rPr>
        <w:t>）和</w:t>
      </w:r>
      <w:bookmarkStart w:id="30" w:name="_Hlk116824355"/>
      <w:r>
        <w:rPr>
          <w:rFonts w:ascii="Times New Roman" w:hAnsi="Times New Roman" w:eastAsia="黑体" w:cs="Calibri"/>
          <w:sz w:val="18"/>
          <w:szCs w:val="22"/>
        </w:rPr>
        <w:t>平行子样个数（m</w:t>
      </w:r>
      <w:r>
        <w:rPr>
          <w:rFonts w:ascii="Times New Roman" w:hAnsi="Times New Roman" w:eastAsia="黑体" w:cs="Calibri"/>
          <w:sz w:val="18"/>
          <w:szCs w:val="22"/>
          <w:vertAlign w:val="subscript"/>
        </w:rPr>
        <w:t>ij</w:t>
      </w:r>
      <w:bookmarkEnd w:id="30"/>
      <w:r>
        <w:rPr>
          <w:rFonts w:ascii="Times New Roman" w:hAnsi="Times New Roman" w:eastAsia="黑体" w:cs="Calibri"/>
          <w:sz w:val="18"/>
          <w:szCs w:val="22"/>
        </w:rPr>
        <w:t>）</w:t>
      </w:r>
    </w:p>
    <w:tbl>
      <w:tblPr>
        <w:tblStyle w:val="16"/>
        <w:tblW w:w="7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724"/>
        <w:gridCol w:w="653"/>
        <w:gridCol w:w="724"/>
        <w:gridCol w:w="585"/>
        <w:gridCol w:w="724"/>
        <w:gridCol w:w="585"/>
        <w:gridCol w:w="724"/>
        <w:gridCol w:w="585"/>
        <w:gridCol w:w="724"/>
        <w:gridCol w:w="586"/>
      </w:tblGrid>
      <w:tr w14:paraId="2999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Merge w:val="restart"/>
            <w:vAlign w:val="center"/>
          </w:tcPr>
          <w:p w14:paraId="1BFD71D5">
            <w:pPr>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实验室</w:t>
            </w:r>
          </w:p>
        </w:tc>
        <w:tc>
          <w:tcPr>
            <w:tcW w:w="6614" w:type="dxa"/>
            <w:gridSpan w:val="10"/>
            <w:vAlign w:val="center"/>
          </w:tcPr>
          <w:p w14:paraId="101EC16C">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不同含量样品标称转基因含量（%）</w:t>
            </w:r>
          </w:p>
        </w:tc>
      </w:tr>
      <w:tr w14:paraId="1CD0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Merge w:val="continue"/>
            <w:vAlign w:val="center"/>
          </w:tcPr>
          <w:p w14:paraId="7348D915">
            <w:pPr>
              <w:spacing w:line="200" w:lineRule="atLeast"/>
              <w:ind w:firstLine="440"/>
              <w:jc w:val="center"/>
              <w:rPr>
                <w:rFonts w:hint="default" w:ascii="Times New Roman" w:hAnsi="Times New Roman" w:eastAsia="宋体" w:cs="Times New Roman"/>
                <w:kern w:val="0"/>
                <w:sz w:val="18"/>
                <w:szCs w:val="18"/>
              </w:rPr>
            </w:pPr>
          </w:p>
        </w:tc>
        <w:tc>
          <w:tcPr>
            <w:tcW w:w="1377" w:type="dxa"/>
            <w:gridSpan w:val="2"/>
            <w:vAlign w:val="center"/>
          </w:tcPr>
          <w:p w14:paraId="02FC2856">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5.0</w:t>
            </w:r>
          </w:p>
        </w:tc>
        <w:tc>
          <w:tcPr>
            <w:tcW w:w="1309" w:type="dxa"/>
            <w:gridSpan w:val="2"/>
            <w:vAlign w:val="center"/>
          </w:tcPr>
          <w:p w14:paraId="0460FBB5">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3.0</w:t>
            </w:r>
          </w:p>
        </w:tc>
        <w:tc>
          <w:tcPr>
            <w:tcW w:w="1309" w:type="dxa"/>
            <w:gridSpan w:val="2"/>
            <w:vAlign w:val="center"/>
          </w:tcPr>
          <w:p w14:paraId="5B520AB2">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1.0</w:t>
            </w:r>
          </w:p>
        </w:tc>
        <w:tc>
          <w:tcPr>
            <w:tcW w:w="1309" w:type="dxa"/>
            <w:gridSpan w:val="2"/>
            <w:vAlign w:val="center"/>
          </w:tcPr>
          <w:p w14:paraId="374A5D4B">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0.5</w:t>
            </w:r>
          </w:p>
        </w:tc>
        <w:tc>
          <w:tcPr>
            <w:tcW w:w="1310" w:type="dxa"/>
            <w:gridSpan w:val="2"/>
            <w:vAlign w:val="center"/>
          </w:tcPr>
          <w:p w14:paraId="7A5C4D2B">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0.1</w:t>
            </w:r>
          </w:p>
        </w:tc>
      </w:tr>
      <w:tr w14:paraId="4D81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Merge w:val="continue"/>
            <w:vAlign w:val="center"/>
          </w:tcPr>
          <w:p w14:paraId="5B40C830">
            <w:pPr>
              <w:widowControl/>
              <w:spacing w:line="200" w:lineRule="atLeast"/>
              <w:jc w:val="center"/>
              <w:rPr>
                <w:rFonts w:hint="default" w:ascii="Times New Roman" w:hAnsi="Times New Roman" w:eastAsia="宋体" w:cs="Times New Roman"/>
                <w:kern w:val="0"/>
                <w:sz w:val="18"/>
                <w:szCs w:val="18"/>
              </w:rPr>
            </w:pPr>
          </w:p>
        </w:tc>
        <w:tc>
          <w:tcPr>
            <w:tcW w:w="724" w:type="dxa"/>
            <w:vAlign w:val="center"/>
          </w:tcPr>
          <w:p w14:paraId="273C2C76">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40030"/>
                  <wp:effectExtent l="0" t="0" r="0" b="6350"/>
                  <wp:docPr id="24" name="图片 72"/>
                  <wp:cNvGraphicFramePr/>
                  <a:graphic xmlns:a="http://schemas.openxmlformats.org/drawingml/2006/main">
                    <a:graphicData uri="http://schemas.openxmlformats.org/drawingml/2006/picture">
                      <pic:pic xmlns:pic="http://schemas.openxmlformats.org/drawingml/2006/picture">
                        <pic:nvPicPr>
                          <pic:cNvPr id="24" name="图片 72"/>
                          <pic:cNvPicPr/>
                        </pic:nvPicPr>
                        <pic:blipFill>
                          <a:blip r:embed="rId223"/>
                          <a:stretch>
                            <a:fillRect/>
                          </a:stretch>
                        </pic:blipFill>
                        <pic:spPr>
                          <a:xfrm>
                            <a:off x="0" y="0"/>
                            <a:ext cx="163195" cy="240030"/>
                          </a:xfrm>
                          <a:prstGeom prst="rect">
                            <a:avLst/>
                          </a:prstGeom>
                          <a:noFill/>
                          <a:ln>
                            <a:noFill/>
                          </a:ln>
                        </pic:spPr>
                      </pic:pic>
                    </a:graphicData>
                  </a:graphic>
                </wp:inline>
              </w:drawing>
            </w:r>
          </w:p>
        </w:tc>
        <w:tc>
          <w:tcPr>
            <w:tcW w:w="653" w:type="dxa"/>
            <w:vAlign w:val="center"/>
          </w:tcPr>
          <w:p w14:paraId="153B6A09">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24" w:type="dxa"/>
            <w:vAlign w:val="center"/>
          </w:tcPr>
          <w:p w14:paraId="0E7D94B6">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40030"/>
                  <wp:effectExtent l="0" t="0" r="0" b="6350"/>
                  <wp:docPr id="25" name="图片 73"/>
                  <wp:cNvGraphicFramePr/>
                  <a:graphic xmlns:a="http://schemas.openxmlformats.org/drawingml/2006/main">
                    <a:graphicData uri="http://schemas.openxmlformats.org/drawingml/2006/picture">
                      <pic:pic xmlns:pic="http://schemas.openxmlformats.org/drawingml/2006/picture">
                        <pic:nvPicPr>
                          <pic:cNvPr id="25" name="图片 73"/>
                          <pic:cNvPicPr/>
                        </pic:nvPicPr>
                        <pic:blipFill>
                          <a:blip r:embed="rId223"/>
                          <a:stretch>
                            <a:fillRect/>
                          </a:stretch>
                        </pic:blipFill>
                        <pic:spPr>
                          <a:xfrm>
                            <a:off x="0" y="0"/>
                            <a:ext cx="163195" cy="240030"/>
                          </a:xfrm>
                          <a:prstGeom prst="rect">
                            <a:avLst/>
                          </a:prstGeom>
                          <a:noFill/>
                          <a:ln>
                            <a:noFill/>
                          </a:ln>
                        </pic:spPr>
                      </pic:pic>
                    </a:graphicData>
                  </a:graphic>
                </wp:inline>
              </w:drawing>
            </w:r>
          </w:p>
        </w:tc>
        <w:tc>
          <w:tcPr>
            <w:tcW w:w="585" w:type="dxa"/>
            <w:vAlign w:val="center"/>
          </w:tcPr>
          <w:p w14:paraId="2016422B">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24" w:type="dxa"/>
            <w:vAlign w:val="center"/>
          </w:tcPr>
          <w:p w14:paraId="1013B89B">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40030"/>
                  <wp:effectExtent l="0" t="0" r="0" b="6350"/>
                  <wp:docPr id="26" name="图片 74"/>
                  <wp:cNvGraphicFramePr/>
                  <a:graphic xmlns:a="http://schemas.openxmlformats.org/drawingml/2006/main">
                    <a:graphicData uri="http://schemas.openxmlformats.org/drawingml/2006/picture">
                      <pic:pic xmlns:pic="http://schemas.openxmlformats.org/drawingml/2006/picture">
                        <pic:nvPicPr>
                          <pic:cNvPr id="26" name="图片 74"/>
                          <pic:cNvPicPr/>
                        </pic:nvPicPr>
                        <pic:blipFill>
                          <a:blip r:embed="rId223"/>
                          <a:stretch>
                            <a:fillRect/>
                          </a:stretch>
                        </pic:blipFill>
                        <pic:spPr>
                          <a:xfrm>
                            <a:off x="0" y="0"/>
                            <a:ext cx="163195" cy="240030"/>
                          </a:xfrm>
                          <a:prstGeom prst="rect">
                            <a:avLst/>
                          </a:prstGeom>
                          <a:noFill/>
                          <a:ln>
                            <a:noFill/>
                          </a:ln>
                        </pic:spPr>
                      </pic:pic>
                    </a:graphicData>
                  </a:graphic>
                </wp:inline>
              </w:drawing>
            </w:r>
          </w:p>
        </w:tc>
        <w:tc>
          <w:tcPr>
            <w:tcW w:w="585" w:type="dxa"/>
            <w:vAlign w:val="center"/>
          </w:tcPr>
          <w:p w14:paraId="0B53863F">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24" w:type="dxa"/>
            <w:vAlign w:val="center"/>
          </w:tcPr>
          <w:p w14:paraId="3735D9E8">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40030"/>
                  <wp:effectExtent l="0" t="0" r="0" b="6350"/>
                  <wp:docPr id="28" name="图片 75"/>
                  <wp:cNvGraphicFramePr/>
                  <a:graphic xmlns:a="http://schemas.openxmlformats.org/drawingml/2006/main">
                    <a:graphicData uri="http://schemas.openxmlformats.org/drawingml/2006/picture">
                      <pic:pic xmlns:pic="http://schemas.openxmlformats.org/drawingml/2006/picture">
                        <pic:nvPicPr>
                          <pic:cNvPr id="28" name="图片 75"/>
                          <pic:cNvPicPr/>
                        </pic:nvPicPr>
                        <pic:blipFill>
                          <a:blip r:embed="rId223"/>
                          <a:stretch>
                            <a:fillRect/>
                          </a:stretch>
                        </pic:blipFill>
                        <pic:spPr>
                          <a:xfrm>
                            <a:off x="0" y="0"/>
                            <a:ext cx="163195" cy="240030"/>
                          </a:xfrm>
                          <a:prstGeom prst="rect">
                            <a:avLst/>
                          </a:prstGeom>
                          <a:noFill/>
                          <a:ln>
                            <a:noFill/>
                          </a:ln>
                        </pic:spPr>
                      </pic:pic>
                    </a:graphicData>
                  </a:graphic>
                </wp:inline>
              </w:drawing>
            </w:r>
          </w:p>
        </w:tc>
        <w:tc>
          <w:tcPr>
            <w:tcW w:w="585" w:type="dxa"/>
            <w:vAlign w:val="center"/>
          </w:tcPr>
          <w:p w14:paraId="3D77B4F7">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24" w:type="dxa"/>
            <w:vAlign w:val="center"/>
          </w:tcPr>
          <w:p w14:paraId="3763A5D6">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40030"/>
                  <wp:effectExtent l="0" t="0" r="0" b="6350"/>
                  <wp:docPr id="33" name="图片 76"/>
                  <wp:cNvGraphicFramePr/>
                  <a:graphic xmlns:a="http://schemas.openxmlformats.org/drawingml/2006/main">
                    <a:graphicData uri="http://schemas.openxmlformats.org/drawingml/2006/picture">
                      <pic:pic xmlns:pic="http://schemas.openxmlformats.org/drawingml/2006/picture">
                        <pic:nvPicPr>
                          <pic:cNvPr id="33" name="图片 76"/>
                          <pic:cNvPicPr/>
                        </pic:nvPicPr>
                        <pic:blipFill>
                          <a:blip r:embed="rId223"/>
                          <a:stretch>
                            <a:fillRect/>
                          </a:stretch>
                        </pic:blipFill>
                        <pic:spPr>
                          <a:xfrm>
                            <a:off x="0" y="0"/>
                            <a:ext cx="163195" cy="240030"/>
                          </a:xfrm>
                          <a:prstGeom prst="rect">
                            <a:avLst/>
                          </a:prstGeom>
                          <a:noFill/>
                          <a:ln>
                            <a:noFill/>
                          </a:ln>
                        </pic:spPr>
                      </pic:pic>
                    </a:graphicData>
                  </a:graphic>
                </wp:inline>
              </w:drawing>
            </w:r>
          </w:p>
        </w:tc>
        <w:tc>
          <w:tcPr>
            <w:tcW w:w="586" w:type="dxa"/>
            <w:vAlign w:val="center"/>
          </w:tcPr>
          <w:p w14:paraId="4AF5DBD9">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r>
      <w:tr w14:paraId="0AC1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2C852CB7">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Lab1</w:t>
            </w:r>
          </w:p>
        </w:tc>
        <w:tc>
          <w:tcPr>
            <w:tcW w:w="724" w:type="dxa"/>
            <w:shd w:val="clear" w:color="auto" w:fill="auto"/>
            <w:vAlign w:val="center"/>
          </w:tcPr>
          <w:p w14:paraId="731ACBC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5.013</w:t>
            </w:r>
          </w:p>
        </w:tc>
        <w:tc>
          <w:tcPr>
            <w:tcW w:w="653" w:type="dxa"/>
            <w:vAlign w:val="center"/>
          </w:tcPr>
          <w:p w14:paraId="5CBE95D2">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141E017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3.073</w:t>
            </w:r>
          </w:p>
        </w:tc>
        <w:tc>
          <w:tcPr>
            <w:tcW w:w="585" w:type="dxa"/>
            <w:vAlign w:val="center"/>
          </w:tcPr>
          <w:p w14:paraId="3B554A9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51E7CCF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0.880</w:t>
            </w:r>
          </w:p>
        </w:tc>
        <w:tc>
          <w:tcPr>
            <w:tcW w:w="585" w:type="dxa"/>
            <w:shd w:val="clear" w:color="auto" w:fill="auto"/>
            <w:vAlign w:val="center"/>
          </w:tcPr>
          <w:p w14:paraId="6802C87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1407E4D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0.573</w:t>
            </w:r>
          </w:p>
        </w:tc>
        <w:tc>
          <w:tcPr>
            <w:tcW w:w="585" w:type="dxa"/>
            <w:shd w:val="clear" w:color="auto" w:fill="auto"/>
            <w:vAlign w:val="center"/>
          </w:tcPr>
          <w:p w14:paraId="3024CAD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45E04F3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0.103</w:t>
            </w:r>
          </w:p>
        </w:tc>
        <w:tc>
          <w:tcPr>
            <w:tcW w:w="586" w:type="dxa"/>
            <w:vAlign w:val="center"/>
          </w:tcPr>
          <w:p w14:paraId="28F4F0D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5DB9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285CD46F">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Lab2</w:t>
            </w:r>
          </w:p>
        </w:tc>
        <w:tc>
          <w:tcPr>
            <w:tcW w:w="724" w:type="dxa"/>
            <w:shd w:val="clear" w:color="auto" w:fill="auto"/>
            <w:vAlign w:val="center"/>
          </w:tcPr>
          <w:p w14:paraId="06AF8B5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5.497</w:t>
            </w:r>
          </w:p>
        </w:tc>
        <w:tc>
          <w:tcPr>
            <w:tcW w:w="653" w:type="dxa"/>
            <w:vAlign w:val="center"/>
          </w:tcPr>
          <w:p w14:paraId="170B87C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58E7693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3.443</w:t>
            </w:r>
          </w:p>
        </w:tc>
        <w:tc>
          <w:tcPr>
            <w:tcW w:w="585" w:type="dxa"/>
            <w:vAlign w:val="center"/>
          </w:tcPr>
          <w:p w14:paraId="7F896D7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1D9D19F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1.017</w:t>
            </w:r>
          </w:p>
        </w:tc>
        <w:tc>
          <w:tcPr>
            <w:tcW w:w="585" w:type="dxa"/>
            <w:shd w:val="clear" w:color="auto" w:fill="auto"/>
            <w:vAlign w:val="center"/>
          </w:tcPr>
          <w:p w14:paraId="08231A6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0EB61AC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0.577</w:t>
            </w:r>
          </w:p>
        </w:tc>
        <w:tc>
          <w:tcPr>
            <w:tcW w:w="585" w:type="dxa"/>
            <w:shd w:val="clear" w:color="auto" w:fill="auto"/>
            <w:vAlign w:val="center"/>
          </w:tcPr>
          <w:p w14:paraId="617EEE9B">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09B7EF7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0.117</w:t>
            </w:r>
          </w:p>
        </w:tc>
        <w:tc>
          <w:tcPr>
            <w:tcW w:w="586" w:type="dxa"/>
            <w:vAlign w:val="center"/>
          </w:tcPr>
          <w:p w14:paraId="181228FA">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110F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2FDD7C90">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Lab3</w:t>
            </w:r>
          </w:p>
        </w:tc>
        <w:tc>
          <w:tcPr>
            <w:tcW w:w="724" w:type="dxa"/>
            <w:shd w:val="clear" w:color="auto" w:fill="auto"/>
            <w:vAlign w:val="center"/>
          </w:tcPr>
          <w:p w14:paraId="5B34F42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5.040</w:t>
            </w:r>
          </w:p>
        </w:tc>
        <w:tc>
          <w:tcPr>
            <w:tcW w:w="653" w:type="dxa"/>
            <w:vAlign w:val="center"/>
          </w:tcPr>
          <w:p w14:paraId="3F644B9D">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26788C2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3.043</w:t>
            </w:r>
          </w:p>
        </w:tc>
        <w:tc>
          <w:tcPr>
            <w:tcW w:w="585" w:type="dxa"/>
            <w:vAlign w:val="center"/>
          </w:tcPr>
          <w:p w14:paraId="08D32CB3">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0364656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0.907</w:t>
            </w:r>
          </w:p>
        </w:tc>
        <w:tc>
          <w:tcPr>
            <w:tcW w:w="585" w:type="dxa"/>
            <w:shd w:val="clear" w:color="auto" w:fill="auto"/>
            <w:vAlign w:val="center"/>
          </w:tcPr>
          <w:p w14:paraId="18E39A4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595885D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0.550</w:t>
            </w:r>
          </w:p>
        </w:tc>
        <w:tc>
          <w:tcPr>
            <w:tcW w:w="585" w:type="dxa"/>
            <w:shd w:val="clear" w:color="auto" w:fill="auto"/>
            <w:vAlign w:val="center"/>
          </w:tcPr>
          <w:p w14:paraId="059D414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643DB75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0.097</w:t>
            </w:r>
          </w:p>
        </w:tc>
        <w:tc>
          <w:tcPr>
            <w:tcW w:w="586" w:type="dxa"/>
            <w:vAlign w:val="center"/>
          </w:tcPr>
          <w:p w14:paraId="06693663">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6F7D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48200A86">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Lab4</w:t>
            </w:r>
          </w:p>
        </w:tc>
        <w:tc>
          <w:tcPr>
            <w:tcW w:w="724" w:type="dxa"/>
            <w:shd w:val="clear" w:color="auto" w:fill="auto"/>
            <w:vAlign w:val="center"/>
          </w:tcPr>
          <w:p w14:paraId="0BF75B6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5.030</w:t>
            </w:r>
          </w:p>
        </w:tc>
        <w:tc>
          <w:tcPr>
            <w:tcW w:w="653" w:type="dxa"/>
            <w:vAlign w:val="center"/>
          </w:tcPr>
          <w:p w14:paraId="4831227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7351665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3.060</w:t>
            </w:r>
          </w:p>
        </w:tc>
        <w:tc>
          <w:tcPr>
            <w:tcW w:w="585" w:type="dxa"/>
            <w:vAlign w:val="center"/>
          </w:tcPr>
          <w:p w14:paraId="66B51EF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7FF5851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1.057</w:t>
            </w:r>
          </w:p>
        </w:tc>
        <w:tc>
          <w:tcPr>
            <w:tcW w:w="585" w:type="dxa"/>
            <w:shd w:val="clear" w:color="auto" w:fill="auto"/>
            <w:vAlign w:val="center"/>
          </w:tcPr>
          <w:p w14:paraId="44882FE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04429B9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0.503</w:t>
            </w:r>
          </w:p>
        </w:tc>
        <w:tc>
          <w:tcPr>
            <w:tcW w:w="585" w:type="dxa"/>
            <w:shd w:val="clear" w:color="auto" w:fill="auto"/>
            <w:vAlign w:val="center"/>
          </w:tcPr>
          <w:p w14:paraId="22B1378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442682D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0.113</w:t>
            </w:r>
          </w:p>
        </w:tc>
        <w:tc>
          <w:tcPr>
            <w:tcW w:w="586" w:type="dxa"/>
            <w:vAlign w:val="center"/>
          </w:tcPr>
          <w:p w14:paraId="33E50856">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1F38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2D4B02AB">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Lab5</w:t>
            </w:r>
          </w:p>
        </w:tc>
        <w:tc>
          <w:tcPr>
            <w:tcW w:w="724" w:type="dxa"/>
            <w:shd w:val="clear" w:color="auto" w:fill="auto"/>
            <w:vAlign w:val="center"/>
          </w:tcPr>
          <w:p w14:paraId="0B1A54F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4.140</w:t>
            </w:r>
          </w:p>
        </w:tc>
        <w:tc>
          <w:tcPr>
            <w:tcW w:w="653" w:type="dxa"/>
            <w:vAlign w:val="center"/>
          </w:tcPr>
          <w:p w14:paraId="0562823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718BBF3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2.507</w:t>
            </w:r>
          </w:p>
        </w:tc>
        <w:tc>
          <w:tcPr>
            <w:tcW w:w="585" w:type="dxa"/>
            <w:vAlign w:val="center"/>
          </w:tcPr>
          <w:p w14:paraId="129E9538">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5CF6910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0.907</w:t>
            </w:r>
          </w:p>
        </w:tc>
        <w:tc>
          <w:tcPr>
            <w:tcW w:w="585" w:type="dxa"/>
            <w:shd w:val="clear" w:color="auto" w:fill="auto"/>
            <w:vAlign w:val="center"/>
          </w:tcPr>
          <w:p w14:paraId="3988C069">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7FB3F7A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0.470</w:t>
            </w:r>
          </w:p>
        </w:tc>
        <w:tc>
          <w:tcPr>
            <w:tcW w:w="585" w:type="dxa"/>
            <w:shd w:val="clear" w:color="auto" w:fill="auto"/>
            <w:vAlign w:val="center"/>
          </w:tcPr>
          <w:p w14:paraId="36CA5C19">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1DBFFF8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0.107</w:t>
            </w:r>
          </w:p>
        </w:tc>
        <w:tc>
          <w:tcPr>
            <w:tcW w:w="586" w:type="dxa"/>
            <w:vAlign w:val="center"/>
          </w:tcPr>
          <w:p w14:paraId="781ED0A2">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588F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4B33772B">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Lab6</w:t>
            </w:r>
          </w:p>
        </w:tc>
        <w:tc>
          <w:tcPr>
            <w:tcW w:w="724" w:type="dxa"/>
            <w:shd w:val="clear" w:color="auto" w:fill="auto"/>
            <w:vAlign w:val="center"/>
          </w:tcPr>
          <w:p w14:paraId="34336BD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5.127</w:t>
            </w:r>
          </w:p>
        </w:tc>
        <w:tc>
          <w:tcPr>
            <w:tcW w:w="653" w:type="dxa"/>
            <w:vAlign w:val="center"/>
          </w:tcPr>
          <w:p w14:paraId="40069D9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33A0FAE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3.090</w:t>
            </w:r>
          </w:p>
        </w:tc>
        <w:tc>
          <w:tcPr>
            <w:tcW w:w="585" w:type="dxa"/>
            <w:vAlign w:val="center"/>
          </w:tcPr>
          <w:p w14:paraId="2AC69F4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0C68368B">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1.047</w:t>
            </w:r>
          </w:p>
        </w:tc>
        <w:tc>
          <w:tcPr>
            <w:tcW w:w="585" w:type="dxa"/>
            <w:shd w:val="clear" w:color="auto" w:fill="auto"/>
            <w:vAlign w:val="center"/>
          </w:tcPr>
          <w:p w14:paraId="71348FA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28D5B03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0.587</w:t>
            </w:r>
          </w:p>
        </w:tc>
        <w:tc>
          <w:tcPr>
            <w:tcW w:w="585" w:type="dxa"/>
            <w:shd w:val="clear" w:color="auto" w:fill="auto"/>
            <w:vAlign w:val="center"/>
          </w:tcPr>
          <w:p w14:paraId="66DD37F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10FDB68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0.107</w:t>
            </w:r>
          </w:p>
        </w:tc>
        <w:tc>
          <w:tcPr>
            <w:tcW w:w="586" w:type="dxa"/>
            <w:vAlign w:val="center"/>
          </w:tcPr>
          <w:p w14:paraId="39FF8C1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56A6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2F909A52">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Lab7</w:t>
            </w:r>
          </w:p>
        </w:tc>
        <w:tc>
          <w:tcPr>
            <w:tcW w:w="724" w:type="dxa"/>
            <w:shd w:val="clear" w:color="auto" w:fill="auto"/>
            <w:vAlign w:val="center"/>
          </w:tcPr>
          <w:p w14:paraId="00F7C66C">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4.993</w:t>
            </w:r>
          </w:p>
        </w:tc>
        <w:tc>
          <w:tcPr>
            <w:tcW w:w="653" w:type="dxa"/>
            <w:vAlign w:val="center"/>
          </w:tcPr>
          <w:p w14:paraId="169A8CDE">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4437D96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2.913</w:t>
            </w:r>
          </w:p>
        </w:tc>
        <w:tc>
          <w:tcPr>
            <w:tcW w:w="585" w:type="dxa"/>
            <w:vAlign w:val="center"/>
          </w:tcPr>
          <w:p w14:paraId="1DCFCD3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447A15E5">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0.853</w:t>
            </w:r>
          </w:p>
        </w:tc>
        <w:tc>
          <w:tcPr>
            <w:tcW w:w="585" w:type="dxa"/>
            <w:shd w:val="clear" w:color="auto" w:fill="auto"/>
            <w:vAlign w:val="center"/>
          </w:tcPr>
          <w:p w14:paraId="37C39B8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5D52D0C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0.497</w:t>
            </w:r>
          </w:p>
        </w:tc>
        <w:tc>
          <w:tcPr>
            <w:tcW w:w="585" w:type="dxa"/>
            <w:shd w:val="clear" w:color="auto" w:fill="auto"/>
            <w:vAlign w:val="center"/>
          </w:tcPr>
          <w:p w14:paraId="32F868E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72BEECE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0.107</w:t>
            </w:r>
          </w:p>
        </w:tc>
        <w:tc>
          <w:tcPr>
            <w:tcW w:w="586" w:type="dxa"/>
            <w:vAlign w:val="center"/>
          </w:tcPr>
          <w:p w14:paraId="780A1F30">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717D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vAlign w:val="center"/>
          </w:tcPr>
          <w:p w14:paraId="584DC7CF">
            <w:pPr>
              <w:widowControl/>
              <w:spacing w:line="200" w:lineRule="atLeast"/>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Lab8</w:t>
            </w:r>
          </w:p>
        </w:tc>
        <w:tc>
          <w:tcPr>
            <w:tcW w:w="724" w:type="dxa"/>
            <w:shd w:val="clear" w:color="auto" w:fill="auto"/>
            <w:vAlign w:val="center"/>
          </w:tcPr>
          <w:p w14:paraId="1E72103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5.717</w:t>
            </w:r>
          </w:p>
        </w:tc>
        <w:tc>
          <w:tcPr>
            <w:tcW w:w="653" w:type="dxa"/>
            <w:vAlign w:val="center"/>
          </w:tcPr>
          <w:p w14:paraId="7502D47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7CF5E8B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3.403</w:t>
            </w:r>
          </w:p>
        </w:tc>
        <w:tc>
          <w:tcPr>
            <w:tcW w:w="585" w:type="dxa"/>
            <w:vAlign w:val="center"/>
          </w:tcPr>
          <w:p w14:paraId="6CDC6CA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24" w:type="dxa"/>
            <w:shd w:val="clear" w:color="auto" w:fill="auto"/>
            <w:vAlign w:val="center"/>
          </w:tcPr>
          <w:p w14:paraId="3DC342C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0.970</w:t>
            </w:r>
          </w:p>
        </w:tc>
        <w:tc>
          <w:tcPr>
            <w:tcW w:w="585" w:type="dxa"/>
            <w:shd w:val="clear" w:color="auto" w:fill="auto"/>
            <w:vAlign w:val="center"/>
          </w:tcPr>
          <w:p w14:paraId="02AAB4C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1DD6966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0.593</w:t>
            </w:r>
          </w:p>
        </w:tc>
        <w:tc>
          <w:tcPr>
            <w:tcW w:w="585" w:type="dxa"/>
            <w:shd w:val="clear" w:color="auto" w:fill="auto"/>
            <w:vAlign w:val="center"/>
          </w:tcPr>
          <w:p w14:paraId="797260D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24" w:type="dxa"/>
            <w:shd w:val="clear" w:color="auto" w:fill="auto"/>
            <w:vAlign w:val="center"/>
          </w:tcPr>
          <w:p w14:paraId="3D45047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0.107</w:t>
            </w:r>
          </w:p>
        </w:tc>
        <w:tc>
          <w:tcPr>
            <w:tcW w:w="586" w:type="dxa"/>
            <w:vAlign w:val="center"/>
          </w:tcPr>
          <w:p w14:paraId="6007BC25">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bl>
    <w:p w14:paraId="35CF9AF8">
      <w:pPr>
        <w:rPr>
          <w:rFonts w:eastAsia="仿宋"/>
          <w:sz w:val="18"/>
          <w:szCs w:val="18"/>
        </w:rPr>
      </w:pPr>
    </w:p>
    <w:p w14:paraId="47921EA9">
      <w:pPr>
        <w:pStyle w:val="8"/>
        <w:keepNext/>
        <w:bidi w:val="0"/>
        <w:spacing w:line="240" w:lineRule="auto"/>
        <w:ind w:firstLine="0" w:firstLineChars="0"/>
        <w:jc w:val="center"/>
        <w:rPr>
          <w:rFonts w:ascii="Times New Roman" w:hAnsi="Times New Roman" w:eastAsia="黑体" w:cs="Calibri"/>
          <w:sz w:val="18"/>
          <w:szCs w:val="22"/>
          <w:lang w:val="en-US" w:eastAsia="zh-CN"/>
        </w:rPr>
      </w:pPr>
      <w:r>
        <w:rPr>
          <w:rFonts w:hint="eastAsia" w:ascii="Times New Roman" w:hAnsi="Times New Roman" w:eastAsia="黑体" w:cs="Calibri"/>
          <w:sz w:val="18"/>
          <w:szCs w:val="22"/>
          <w:lang w:val="en-US" w:eastAsia="zh-CN"/>
        </w:rPr>
        <w:t xml:space="preserve">表3-9 </w:t>
      </w:r>
      <w:r>
        <w:rPr>
          <w:rFonts w:ascii="Times New Roman" w:hAnsi="Times New Roman" w:eastAsia="黑体" w:cs="Calibri"/>
          <w:sz w:val="18"/>
          <w:szCs w:val="22"/>
          <w:lang w:val="en-US" w:eastAsia="zh-CN"/>
        </w:rPr>
        <w:t>各实验室5个含量样品检测数据的标准差（</w:t>
      </w:r>
      <w:r>
        <w:rPr>
          <w:rFonts w:ascii="Times New Roman" w:hAnsi="Times New Roman" w:eastAsia="黑体" w:cs="Calibri"/>
          <w:sz w:val="18"/>
          <w:szCs w:val="22"/>
          <w:lang w:val="en-US" w:eastAsia="zh-CN"/>
        </w:rPr>
        <w:drawing>
          <wp:inline distT="0" distB="0" distL="114300" distR="114300">
            <wp:extent cx="163195" cy="253365"/>
            <wp:effectExtent l="0" t="0" r="0" b="15240"/>
            <wp:docPr id="34" name="图片 77"/>
            <wp:cNvGraphicFramePr/>
            <a:graphic xmlns:a="http://schemas.openxmlformats.org/drawingml/2006/main">
              <a:graphicData uri="http://schemas.openxmlformats.org/drawingml/2006/picture">
                <pic:pic xmlns:pic="http://schemas.openxmlformats.org/drawingml/2006/picture">
                  <pic:nvPicPr>
                    <pic:cNvPr id="34" name="图片 77"/>
                    <pic:cNvPicPr/>
                  </pic:nvPicPr>
                  <pic:blipFill>
                    <a:blip r:embed="rId226"/>
                    <a:stretch>
                      <a:fillRect/>
                    </a:stretch>
                  </pic:blipFill>
                  <pic:spPr>
                    <a:xfrm>
                      <a:off x="0" y="0"/>
                      <a:ext cx="163195" cy="253365"/>
                    </a:xfrm>
                    <a:prstGeom prst="rect">
                      <a:avLst/>
                    </a:prstGeom>
                    <a:noFill/>
                    <a:ln>
                      <a:noFill/>
                    </a:ln>
                  </pic:spPr>
                </pic:pic>
              </a:graphicData>
            </a:graphic>
          </wp:inline>
        </w:drawing>
      </w:r>
      <w:r>
        <w:rPr>
          <w:rFonts w:ascii="Times New Roman" w:hAnsi="Times New Roman" w:eastAsia="黑体" w:cs="Calibri"/>
          <w:sz w:val="18"/>
          <w:szCs w:val="22"/>
          <w:lang w:val="en-US" w:eastAsia="zh-CN"/>
        </w:rPr>
        <w:t>）和平行子样个数（m</w:t>
      </w:r>
      <w:r>
        <w:rPr>
          <w:rFonts w:ascii="Times New Roman" w:hAnsi="Times New Roman" w:eastAsia="黑体" w:cs="Calibri"/>
          <w:sz w:val="18"/>
          <w:szCs w:val="22"/>
          <w:vertAlign w:val="subscript"/>
          <w:lang w:val="en-US" w:eastAsia="zh-CN"/>
        </w:rPr>
        <w:t>ij</w:t>
      </w:r>
      <w:r>
        <w:rPr>
          <w:rFonts w:ascii="Times New Roman" w:hAnsi="Times New Roman" w:eastAsia="黑体" w:cs="Calibri"/>
          <w:sz w:val="18"/>
          <w:szCs w:val="22"/>
          <w:lang w:val="en-US" w:eastAsia="zh-CN"/>
        </w:rPr>
        <w:t>）</w:t>
      </w:r>
    </w:p>
    <w:tbl>
      <w:tblPr>
        <w:tblStyle w:val="16"/>
        <w:tblW w:w="7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737"/>
        <w:gridCol w:w="567"/>
        <w:gridCol w:w="737"/>
        <w:gridCol w:w="567"/>
        <w:gridCol w:w="737"/>
        <w:gridCol w:w="567"/>
        <w:gridCol w:w="737"/>
        <w:gridCol w:w="567"/>
        <w:gridCol w:w="737"/>
        <w:gridCol w:w="567"/>
      </w:tblGrid>
      <w:tr w14:paraId="40A7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vAlign w:val="center"/>
          </w:tcPr>
          <w:p w14:paraId="43414DC8">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实验室</w:t>
            </w:r>
          </w:p>
        </w:tc>
        <w:tc>
          <w:tcPr>
            <w:tcW w:w="6520" w:type="dxa"/>
            <w:gridSpan w:val="10"/>
            <w:vAlign w:val="center"/>
          </w:tcPr>
          <w:p w14:paraId="0C663E5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不同含量样品标称转基因含量（%）</w:t>
            </w:r>
          </w:p>
        </w:tc>
      </w:tr>
      <w:tr w14:paraId="70E5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14:paraId="08CD6932">
            <w:pPr>
              <w:ind w:firstLine="440"/>
              <w:jc w:val="center"/>
              <w:rPr>
                <w:rFonts w:hint="default" w:ascii="Times New Roman" w:hAnsi="Times New Roman" w:eastAsia="宋体" w:cs="Times New Roman"/>
                <w:kern w:val="0"/>
                <w:sz w:val="18"/>
                <w:szCs w:val="18"/>
              </w:rPr>
            </w:pPr>
          </w:p>
        </w:tc>
        <w:tc>
          <w:tcPr>
            <w:tcW w:w="1304" w:type="dxa"/>
            <w:gridSpan w:val="2"/>
            <w:vAlign w:val="center"/>
          </w:tcPr>
          <w:p w14:paraId="63BE564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5.0</w:t>
            </w:r>
          </w:p>
        </w:tc>
        <w:tc>
          <w:tcPr>
            <w:tcW w:w="1304" w:type="dxa"/>
            <w:gridSpan w:val="2"/>
            <w:vAlign w:val="center"/>
          </w:tcPr>
          <w:p w14:paraId="1518E869">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3.0</w:t>
            </w:r>
          </w:p>
        </w:tc>
        <w:tc>
          <w:tcPr>
            <w:tcW w:w="1304" w:type="dxa"/>
            <w:gridSpan w:val="2"/>
            <w:vAlign w:val="center"/>
          </w:tcPr>
          <w:p w14:paraId="5E81E56E">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1.0</w:t>
            </w:r>
          </w:p>
        </w:tc>
        <w:tc>
          <w:tcPr>
            <w:tcW w:w="1304" w:type="dxa"/>
            <w:gridSpan w:val="2"/>
            <w:vAlign w:val="center"/>
          </w:tcPr>
          <w:p w14:paraId="34005A5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0.5</w:t>
            </w:r>
          </w:p>
        </w:tc>
        <w:tc>
          <w:tcPr>
            <w:tcW w:w="1304" w:type="dxa"/>
            <w:gridSpan w:val="2"/>
            <w:vAlign w:val="center"/>
          </w:tcPr>
          <w:p w14:paraId="72C9EBE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0.1</w:t>
            </w:r>
          </w:p>
        </w:tc>
      </w:tr>
      <w:tr w14:paraId="281F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14:paraId="100308F6">
            <w:pPr>
              <w:widowControl/>
              <w:jc w:val="center"/>
              <w:rPr>
                <w:rFonts w:hint="default" w:ascii="Times New Roman" w:hAnsi="Times New Roman" w:eastAsia="宋体" w:cs="Times New Roman"/>
                <w:kern w:val="0"/>
                <w:sz w:val="18"/>
                <w:szCs w:val="18"/>
              </w:rPr>
            </w:pPr>
          </w:p>
        </w:tc>
        <w:tc>
          <w:tcPr>
            <w:tcW w:w="737" w:type="dxa"/>
            <w:vAlign w:val="center"/>
          </w:tcPr>
          <w:p w14:paraId="7142103A">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53365"/>
                  <wp:effectExtent l="0" t="0" r="0" b="15240"/>
                  <wp:docPr id="35" name="图片 78"/>
                  <wp:cNvGraphicFramePr/>
                  <a:graphic xmlns:a="http://schemas.openxmlformats.org/drawingml/2006/main">
                    <a:graphicData uri="http://schemas.openxmlformats.org/drawingml/2006/picture">
                      <pic:pic xmlns:pic="http://schemas.openxmlformats.org/drawingml/2006/picture">
                        <pic:nvPicPr>
                          <pic:cNvPr id="35" name="图片 78"/>
                          <pic:cNvPicPr/>
                        </pic:nvPicPr>
                        <pic:blipFill>
                          <a:blip r:embed="rId226"/>
                          <a:stretch>
                            <a:fillRect/>
                          </a:stretch>
                        </pic:blipFill>
                        <pic:spPr>
                          <a:xfrm>
                            <a:off x="0" y="0"/>
                            <a:ext cx="163195" cy="253365"/>
                          </a:xfrm>
                          <a:prstGeom prst="rect">
                            <a:avLst/>
                          </a:prstGeom>
                          <a:noFill/>
                          <a:ln>
                            <a:noFill/>
                          </a:ln>
                        </pic:spPr>
                      </pic:pic>
                    </a:graphicData>
                  </a:graphic>
                </wp:inline>
              </w:drawing>
            </w:r>
          </w:p>
        </w:tc>
        <w:tc>
          <w:tcPr>
            <w:tcW w:w="567" w:type="dxa"/>
            <w:vAlign w:val="center"/>
          </w:tcPr>
          <w:p w14:paraId="0057F50E">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37" w:type="dxa"/>
            <w:vAlign w:val="center"/>
          </w:tcPr>
          <w:p w14:paraId="4A70FD09">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53365"/>
                  <wp:effectExtent l="0" t="0" r="0" b="15240"/>
                  <wp:docPr id="36" name="图片 79"/>
                  <wp:cNvGraphicFramePr/>
                  <a:graphic xmlns:a="http://schemas.openxmlformats.org/drawingml/2006/main">
                    <a:graphicData uri="http://schemas.openxmlformats.org/drawingml/2006/picture">
                      <pic:pic xmlns:pic="http://schemas.openxmlformats.org/drawingml/2006/picture">
                        <pic:nvPicPr>
                          <pic:cNvPr id="36" name="图片 79"/>
                          <pic:cNvPicPr/>
                        </pic:nvPicPr>
                        <pic:blipFill>
                          <a:blip r:embed="rId226"/>
                          <a:stretch>
                            <a:fillRect/>
                          </a:stretch>
                        </pic:blipFill>
                        <pic:spPr>
                          <a:xfrm>
                            <a:off x="0" y="0"/>
                            <a:ext cx="163195" cy="253365"/>
                          </a:xfrm>
                          <a:prstGeom prst="rect">
                            <a:avLst/>
                          </a:prstGeom>
                          <a:noFill/>
                          <a:ln>
                            <a:noFill/>
                          </a:ln>
                        </pic:spPr>
                      </pic:pic>
                    </a:graphicData>
                  </a:graphic>
                </wp:inline>
              </w:drawing>
            </w:r>
          </w:p>
        </w:tc>
        <w:tc>
          <w:tcPr>
            <w:tcW w:w="567" w:type="dxa"/>
            <w:vAlign w:val="center"/>
          </w:tcPr>
          <w:p w14:paraId="538A5928">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37" w:type="dxa"/>
            <w:vAlign w:val="center"/>
          </w:tcPr>
          <w:p w14:paraId="0B68A9F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53365"/>
                  <wp:effectExtent l="0" t="0" r="0" b="15240"/>
                  <wp:docPr id="37" name="图片 80"/>
                  <wp:cNvGraphicFramePr/>
                  <a:graphic xmlns:a="http://schemas.openxmlformats.org/drawingml/2006/main">
                    <a:graphicData uri="http://schemas.openxmlformats.org/drawingml/2006/picture">
                      <pic:pic xmlns:pic="http://schemas.openxmlformats.org/drawingml/2006/picture">
                        <pic:nvPicPr>
                          <pic:cNvPr id="37" name="图片 80"/>
                          <pic:cNvPicPr/>
                        </pic:nvPicPr>
                        <pic:blipFill>
                          <a:blip r:embed="rId226"/>
                          <a:stretch>
                            <a:fillRect/>
                          </a:stretch>
                        </pic:blipFill>
                        <pic:spPr>
                          <a:xfrm>
                            <a:off x="0" y="0"/>
                            <a:ext cx="163195" cy="253365"/>
                          </a:xfrm>
                          <a:prstGeom prst="rect">
                            <a:avLst/>
                          </a:prstGeom>
                          <a:noFill/>
                          <a:ln>
                            <a:noFill/>
                          </a:ln>
                        </pic:spPr>
                      </pic:pic>
                    </a:graphicData>
                  </a:graphic>
                </wp:inline>
              </w:drawing>
            </w:r>
          </w:p>
        </w:tc>
        <w:tc>
          <w:tcPr>
            <w:tcW w:w="567" w:type="dxa"/>
            <w:vAlign w:val="center"/>
          </w:tcPr>
          <w:p w14:paraId="1AEB2B73">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37" w:type="dxa"/>
            <w:vAlign w:val="center"/>
          </w:tcPr>
          <w:p w14:paraId="004E11BD">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53365"/>
                  <wp:effectExtent l="0" t="0" r="0" b="15240"/>
                  <wp:docPr id="38" name="图片 81"/>
                  <wp:cNvGraphicFramePr/>
                  <a:graphic xmlns:a="http://schemas.openxmlformats.org/drawingml/2006/main">
                    <a:graphicData uri="http://schemas.openxmlformats.org/drawingml/2006/picture">
                      <pic:pic xmlns:pic="http://schemas.openxmlformats.org/drawingml/2006/picture">
                        <pic:nvPicPr>
                          <pic:cNvPr id="38" name="图片 81"/>
                          <pic:cNvPicPr/>
                        </pic:nvPicPr>
                        <pic:blipFill>
                          <a:blip r:embed="rId226"/>
                          <a:stretch>
                            <a:fillRect/>
                          </a:stretch>
                        </pic:blipFill>
                        <pic:spPr>
                          <a:xfrm>
                            <a:off x="0" y="0"/>
                            <a:ext cx="163195" cy="253365"/>
                          </a:xfrm>
                          <a:prstGeom prst="rect">
                            <a:avLst/>
                          </a:prstGeom>
                          <a:noFill/>
                          <a:ln>
                            <a:noFill/>
                          </a:ln>
                        </pic:spPr>
                      </pic:pic>
                    </a:graphicData>
                  </a:graphic>
                </wp:inline>
              </w:drawing>
            </w:r>
          </w:p>
        </w:tc>
        <w:tc>
          <w:tcPr>
            <w:tcW w:w="567" w:type="dxa"/>
            <w:vAlign w:val="center"/>
          </w:tcPr>
          <w:p w14:paraId="7BA111CB">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c>
          <w:tcPr>
            <w:tcW w:w="737" w:type="dxa"/>
            <w:vAlign w:val="center"/>
          </w:tcPr>
          <w:p w14:paraId="4985B8E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position w:val="-14"/>
                <w:sz w:val="18"/>
                <w:szCs w:val="18"/>
              </w:rPr>
              <w:drawing>
                <wp:inline distT="0" distB="0" distL="114300" distR="114300">
                  <wp:extent cx="163195" cy="253365"/>
                  <wp:effectExtent l="0" t="0" r="0" b="15240"/>
                  <wp:docPr id="39" name="图片 82"/>
                  <wp:cNvGraphicFramePr/>
                  <a:graphic xmlns:a="http://schemas.openxmlformats.org/drawingml/2006/main">
                    <a:graphicData uri="http://schemas.openxmlformats.org/drawingml/2006/picture">
                      <pic:pic xmlns:pic="http://schemas.openxmlformats.org/drawingml/2006/picture">
                        <pic:nvPicPr>
                          <pic:cNvPr id="39" name="图片 82"/>
                          <pic:cNvPicPr/>
                        </pic:nvPicPr>
                        <pic:blipFill>
                          <a:blip r:embed="rId226"/>
                          <a:stretch>
                            <a:fillRect/>
                          </a:stretch>
                        </pic:blipFill>
                        <pic:spPr>
                          <a:xfrm>
                            <a:off x="0" y="0"/>
                            <a:ext cx="163195" cy="253365"/>
                          </a:xfrm>
                          <a:prstGeom prst="rect">
                            <a:avLst/>
                          </a:prstGeom>
                          <a:noFill/>
                          <a:ln>
                            <a:noFill/>
                          </a:ln>
                        </pic:spPr>
                      </pic:pic>
                    </a:graphicData>
                  </a:graphic>
                </wp:inline>
              </w:drawing>
            </w:r>
          </w:p>
        </w:tc>
        <w:tc>
          <w:tcPr>
            <w:tcW w:w="567" w:type="dxa"/>
            <w:vAlign w:val="center"/>
          </w:tcPr>
          <w:p w14:paraId="180C1A68">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sz w:val="18"/>
                <w:szCs w:val="18"/>
              </w:rPr>
              <w:t>m</w:t>
            </w:r>
            <w:r>
              <w:rPr>
                <w:rFonts w:hint="default" w:ascii="Times New Roman" w:hAnsi="Times New Roman" w:eastAsia="宋体" w:cs="Times New Roman"/>
                <w:b/>
                <w:bCs/>
                <w:i/>
                <w:iCs/>
                <w:sz w:val="18"/>
                <w:szCs w:val="18"/>
                <w:vertAlign w:val="subscript"/>
              </w:rPr>
              <w:t>ij</w:t>
            </w:r>
          </w:p>
        </w:tc>
      </w:tr>
      <w:tr w14:paraId="4314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40F7C42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Lab1</w:t>
            </w:r>
          </w:p>
        </w:tc>
        <w:tc>
          <w:tcPr>
            <w:tcW w:w="737" w:type="dxa"/>
            <w:shd w:val="clear" w:color="auto" w:fill="auto"/>
            <w:vAlign w:val="center"/>
          </w:tcPr>
          <w:p w14:paraId="53B0282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0.091</w:t>
            </w:r>
          </w:p>
        </w:tc>
        <w:tc>
          <w:tcPr>
            <w:tcW w:w="567" w:type="dxa"/>
            <w:shd w:val="clear" w:color="auto" w:fill="auto"/>
            <w:vAlign w:val="center"/>
          </w:tcPr>
          <w:p w14:paraId="70E91FE5">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24A7CA7C">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0.116</w:t>
            </w:r>
          </w:p>
        </w:tc>
        <w:tc>
          <w:tcPr>
            <w:tcW w:w="567" w:type="dxa"/>
            <w:shd w:val="clear" w:color="auto" w:fill="auto"/>
            <w:vAlign w:val="center"/>
          </w:tcPr>
          <w:p w14:paraId="300D597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266D9629">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0.026</w:t>
            </w:r>
          </w:p>
        </w:tc>
        <w:tc>
          <w:tcPr>
            <w:tcW w:w="567" w:type="dxa"/>
            <w:shd w:val="clear" w:color="auto" w:fill="auto"/>
            <w:vAlign w:val="center"/>
          </w:tcPr>
          <w:p w14:paraId="459B74B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5DD46C1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0.015</w:t>
            </w:r>
          </w:p>
        </w:tc>
        <w:tc>
          <w:tcPr>
            <w:tcW w:w="567" w:type="dxa"/>
            <w:vAlign w:val="center"/>
          </w:tcPr>
          <w:p w14:paraId="6F9135C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37" w:type="dxa"/>
            <w:shd w:val="clear" w:color="auto" w:fill="auto"/>
            <w:vAlign w:val="center"/>
          </w:tcPr>
          <w:p w14:paraId="0072A6B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0.006</w:t>
            </w:r>
          </w:p>
        </w:tc>
        <w:tc>
          <w:tcPr>
            <w:tcW w:w="567" w:type="dxa"/>
            <w:vAlign w:val="center"/>
          </w:tcPr>
          <w:p w14:paraId="0B8041D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0A8C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5F4D0F69">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Lab2</w:t>
            </w:r>
          </w:p>
        </w:tc>
        <w:tc>
          <w:tcPr>
            <w:tcW w:w="737" w:type="dxa"/>
            <w:shd w:val="clear" w:color="auto" w:fill="auto"/>
            <w:vAlign w:val="center"/>
          </w:tcPr>
          <w:p w14:paraId="099FA87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0.176</w:t>
            </w:r>
          </w:p>
        </w:tc>
        <w:tc>
          <w:tcPr>
            <w:tcW w:w="567" w:type="dxa"/>
            <w:shd w:val="clear" w:color="auto" w:fill="auto"/>
            <w:vAlign w:val="center"/>
          </w:tcPr>
          <w:p w14:paraId="4436433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708B0F6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0.125</w:t>
            </w:r>
          </w:p>
        </w:tc>
        <w:tc>
          <w:tcPr>
            <w:tcW w:w="567" w:type="dxa"/>
            <w:shd w:val="clear" w:color="auto" w:fill="auto"/>
            <w:vAlign w:val="center"/>
          </w:tcPr>
          <w:p w14:paraId="1484EE7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0F4706C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0.059</w:t>
            </w:r>
          </w:p>
        </w:tc>
        <w:tc>
          <w:tcPr>
            <w:tcW w:w="567" w:type="dxa"/>
            <w:shd w:val="clear" w:color="auto" w:fill="auto"/>
            <w:vAlign w:val="center"/>
          </w:tcPr>
          <w:p w14:paraId="644A3C6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3CAA2E6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vAlign w:val="center"/>
          </w:tcPr>
          <w:p w14:paraId="371F050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37" w:type="dxa"/>
            <w:shd w:val="clear" w:color="auto" w:fill="auto"/>
            <w:vAlign w:val="center"/>
          </w:tcPr>
          <w:p w14:paraId="7BC4C2A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0.006</w:t>
            </w:r>
          </w:p>
        </w:tc>
        <w:tc>
          <w:tcPr>
            <w:tcW w:w="567" w:type="dxa"/>
            <w:vAlign w:val="center"/>
          </w:tcPr>
          <w:p w14:paraId="45962019">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1FA9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5DD8BB5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Lab3</w:t>
            </w:r>
          </w:p>
        </w:tc>
        <w:tc>
          <w:tcPr>
            <w:tcW w:w="737" w:type="dxa"/>
            <w:shd w:val="clear" w:color="auto" w:fill="auto"/>
            <w:vAlign w:val="center"/>
          </w:tcPr>
          <w:p w14:paraId="4E52475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0.130</w:t>
            </w:r>
          </w:p>
        </w:tc>
        <w:tc>
          <w:tcPr>
            <w:tcW w:w="567" w:type="dxa"/>
            <w:shd w:val="clear" w:color="auto" w:fill="auto"/>
            <w:vAlign w:val="center"/>
          </w:tcPr>
          <w:p w14:paraId="6809891C">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118C582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0.084</w:t>
            </w:r>
          </w:p>
        </w:tc>
        <w:tc>
          <w:tcPr>
            <w:tcW w:w="567" w:type="dxa"/>
            <w:shd w:val="clear" w:color="auto" w:fill="auto"/>
            <w:vAlign w:val="center"/>
          </w:tcPr>
          <w:p w14:paraId="7FC0551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7692B06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shd w:val="clear" w:color="auto" w:fill="auto"/>
            <w:vAlign w:val="center"/>
          </w:tcPr>
          <w:p w14:paraId="6C5DAA8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453FF03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0.010</w:t>
            </w:r>
          </w:p>
        </w:tc>
        <w:tc>
          <w:tcPr>
            <w:tcW w:w="567" w:type="dxa"/>
            <w:vAlign w:val="center"/>
          </w:tcPr>
          <w:p w14:paraId="2A39865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37" w:type="dxa"/>
            <w:shd w:val="clear" w:color="auto" w:fill="auto"/>
            <w:vAlign w:val="center"/>
          </w:tcPr>
          <w:p w14:paraId="34173CF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vAlign w:val="center"/>
          </w:tcPr>
          <w:p w14:paraId="684BF932">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6B02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018CA6E9">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Lab4</w:t>
            </w:r>
          </w:p>
        </w:tc>
        <w:tc>
          <w:tcPr>
            <w:tcW w:w="737" w:type="dxa"/>
            <w:shd w:val="clear" w:color="auto" w:fill="auto"/>
            <w:vAlign w:val="center"/>
          </w:tcPr>
          <w:p w14:paraId="1EB8432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0.026</w:t>
            </w:r>
          </w:p>
        </w:tc>
        <w:tc>
          <w:tcPr>
            <w:tcW w:w="567" w:type="dxa"/>
            <w:shd w:val="clear" w:color="auto" w:fill="auto"/>
            <w:vAlign w:val="center"/>
          </w:tcPr>
          <w:p w14:paraId="032D320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00F91AD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0.036</w:t>
            </w:r>
          </w:p>
        </w:tc>
        <w:tc>
          <w:tcPr>
            <w:tcW w:w="567" w:type="dxa"/>
            <w:shd w:val="clear" w:color="auto" w:fill="auto"/>
            <w:vAlign w:val="center"/>
          </w:tcPr>
          <w:p w14:paraId="11190D4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6A6D422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shd w:val="clear" w:color="auto" w:fill="auto"/>
            <w:vAlign w:val="center"/>
          </w:tcPr>
          <w:p w14:paraId="1FDB57CC">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4136D31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vAlign w:val="center"/>
          </w:tcPr>
          <w:p w14:paraId="5F8507F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37" w:type="dxa"/>
            <w:shd w:val="clear" w:color="auto" w:fill="auto"/>
            <w:vAlign w:val="center"/>
          </w:tcPr>
          <w:p w14:paraId="2CA5EEA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0.006</w:t>
            </w:r>
          </w:p>
        </w:tc>
        <w:tc>
          <w:tcPr>
            <w:tcW w:w="567" w:type="dxa"/>
            <w:vAlign w:val="center"/>
          </w:tcPr>
          <w:p w14:paraId="5C8DE61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3E1A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35B3211E">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Lab5</w:t>
            </w:r>
          </w:p>
        </w:tc>
        <w:tc>
          <w:tcPr>
            <w:tcW w:w="737" w:type="dxa"/>
            <w:shd w:val="clear" w:color="auto" w:fill="auto"/>
            <w:vAlign w:val="center"/>
          </w:tcPr>
          <w:p w14:paraId="3571623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0.140</w:t>
            </w:r>
          </w:p>
        </w:tc>
        <w:tc>
          <w:tcPr>
            <w:tcW w:w="567" w:type="dxa"/>
            <w:shd w:val="clear" w:color="auto" w:fill="auto"/>
            <w:vAlign w:val="center"/>
          </w:tcPr>
          <w:p w14:paraId="1592C21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78F01C7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0.074</w:t>
            </w:r>
          </w:p>
        </w:tc>
        <w:tc>
          <w:tcPr>
            <w:tcW w:w="567" w:type="dxa"/>
            <w:shd w:val="clear" w:color="auto" w:fill="auto"/>
            <w:vAlign w:val="center"/>
          </w:tcPr>
          <w:p w14:paraId="298B035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502E1BB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0.122</w:t>
            </w:r>
          </w:p>
        </w:tc>
        <w:tc>
          <w:tcPr>
            <w:tcW w:w="567" w:type="dxa"/>
            <w:shd w:val="clear" w:color="auto" w:fill="auto"/>
            <w:vAlign w:val="center"/>
          </w:tcPr>
          <w:p w14:paraId="040F288C">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74599ED9">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0.030</w:t>
            </w:r>
          </w:p>
        </w:tc>
        <w:tc>
          <w:tcPr>
            <w:tcW w:w="567" w:type="dxa"/>
            <w:vAlign w:val="center"/>
          </w:tcPr>
          <w:p w14:paraId="64B1F0A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37" w:type="dxa"/>
            <w:shd w:val="clear" w:color="auto" w:fill="auto"/>
            <w:vAlign w:val="center"/>
          </w:tcPr>
          <w:p w14:paraId="50D7B60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0.006</w:t>
            </w:r>
          </w:p>
        </w:tc>
        <w:tc>
          <w:tcPr>
            <w:tcW w:w="567" w:type="dxa"/>
            <w:vAlign w:val="center"/>
          </w:tcPr>
          <w:p w14:paraId="516F82B6">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772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52FEFCA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Lab6</w:t>
            </w:r>
          </w:p>
        </w:tc>
        <w:tc>
          <w:tcPr>
            <w:tcW w:w="737" w:type="dxa"/>
            <w:shd w:val="clear" w:color="auto" w:fill="auto"/>
            <w:vAlign w:val="center"/>
          </w:tcPr>
          <w:p w14:paraId="7793C92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0.076</w:t>
            </w:r>
          </w:p>
        </w:tc>
        <w:tc>
          <w:tcPr>
            <w:tcW w:w="567" w:type="dxa"/>
            <w:shd w:val="clear" w:color="auto" w:fill="auto"/>
            <w:vAlign w:val="center"/>
          </w:tcPr>
          <w:p w14:paraId="67AD98F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3F1FA3A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0.079</w:t>
            </w:r>
          </w:p>
        </w:tc>
        <w:tc>
          <w:tcPr>
            <w:tcW w:w="567" w:type="dxa"/>
            <w:shd w:val="clear" w:color="auto" w:fill="auto"/>
            <w:vAlign w:val="center"/>
          </w:tcPr>
          <w:p w14:paraId="2FD130B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3BB75CF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0.015</w:t>
            </w:r>
          </w:p>
        </w:tc>
        <w:tc>
          <w:tcPr>
            <w:tcW w:w="567" w:type="dxa"/>
            <w:shd w:val="clear" w:color="auto" w:fill="auto"/>
            <w:vAlign w:val="center"/>
          </w:tcPr>
          <w:p w14:paraId="0432618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495C024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0.029</w:t>
            </w:r>
          </w:p>
        </w:tc>
        <w:tc>
          <w:tcPr>
            <w:tcW w:w="567" w:type="dxa"/>
            <w:vAlign w:val="center"/>
          </w:tcPr>
          <w:p w14:paraId="5D33B336">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737" w:type="dxa"/>
            <w:shd w:val="clear" w:color="auto" w:fill="auto"/>
            <w:vAlign w:val="center"/>
          </w:tcPr>
          <w:p w14:paraId="27EC12E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0.006</w:t>
            </w:r>
          </w:p>
        </w:tc>
        <w:tc>
          <w:tcPr>
            <w:tcW w:w="567" w:type="dxa"/>
            <w:vAlign w:val="center"/>
          </w:tcPr>
          <w:p w14:paraId="5EA28A76">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1CE7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22909365">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Lab7</w:t>
            </w:r>
          </w:p>
        </w:tc>
        <w:tc>
          <w:tcPr>
            <w:tcW w:w="737" w:type="dxa"/>
            <w:shd w:val="clear" w:color="auto" w:fill="auto"/>
            <w:vAlign w:val="center"/>
          </w:tcPr>
          <w:p w14:paraId="24AC6AB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0.021</w:t>
            </w:r>
          </w:p>
        </w:tc>
        <w:tc>
          <w:tcPr>
            <w:tcW w:w="567" w:type="dxa"/>
            <w:shd w:val="clear" w:color="auto" w:fill="auto"/>
            <w:vAlign w:val="center"/>
          </w:tcPr>
          <w:p w14:paraId="1874C7CB">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00BFE69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0.015</w:t>
            </w:r>
          </w:p>
        </w:tc>
        <w:tc>
          <w:tcPr>
            <w:tcW w:w="567" w:type="dxa"/>
            <w:shd w:val="clear" w:color="auto" w:fill="auto"/>
            <w:vAlign w:val="center"/>
          </w:tcPr>
          <w:p w14:paraId="05BFC47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3A6E2EA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0.025</w:t>
            </w:r>
          </w:p>
        </w:tc>
        <w:tc>
          <w:tcPr>
            <w:tcW w:w="567" w:type="dxa"/>
            <w:shd w:val="clear" w:color="auto" w:fill="auto"/>
            <w:vAlign w:val="center"/>
          </w:tcPr>
          <w:p w14:paraId="20DED71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23AD7268">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vAlign w:val="center"/>
          </w:tcPr>
          <w:p w14:paraId="1792EF43">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3</w:t>
            </w:r>
          </w:p>
        </w:tc>
        <w:tc>
          <w:tcPr>
            <w:tcW w:w="737" w:type="dxa"/>
            <w:shd w:val="clear" w:color="auto" w:fill="auto"/>
            <w:vAlign w:val="center"/>
          </w:tcPr>
          <w:p w14:paraId="4D4BD09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0.006</w:t>
            </w:r>
          </w:p>
        </w:tc>
        <w:tc>
          <w:tcPr>
            <w:tcW w:w="567" w:type="dxa"/>
            <w:vAlign w:val="center"/>
          </w:tcPr>
          <w:p w14:paraId="0F3E3BF6">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3</w:t>
            </w:r>
          </w:p>
        </w:tc>
      </w:tr>
      <w:tr w14:paraId="06BE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Align w:val="center"/>
          </w:tcPr>
          <w:p w14:paraId="1C8D1E43">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kern w:val="0"/>
                <w:sz w:val="18"/>
                <w:szCs w:val="18"/>
              </w:rPr>
              <w:t>Lab8</w:t>
            </w:r>
          </w:p>
        </w:tc>
        <w:tc>
          <w:tcPr>
            <w:tcW w:w="737" w:type="dxa"/>
            <w:shd w:val="clear" w:color="auto" w:fill="auto"/>
            <w:vAlign w:val="center"/>
          </w:tcPr>
          <w:p w14:paraId="09AA8BCA">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0.225</w:t>
            </w:r>
          </w:p>
        </w:tc>
        <w:tc>
          <w:tcPr>
            <w:tcW w:w="567" w:type="dxa"/>
            <w:shd w:val="clear" w:color="auto" w:fill="auto"/>
            <w:vAlign w:val="center"/>
          </w:tcPr>
          <w:p w14:paraId="245F80E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0E2553C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0.162</w:t>
            </w:r>
          </w:p>
        </w:tc>
        <w:tc>
          <w:tcPr>
            <w:tcW w:w="567" w:type="dxa"/>
            <w:shd w:val="clear" w:color="auto" w:fill="auto"/>
            <w:vAlign w:val="center"/>
          </w:tcPr>
          <w:p w14:paraId="3C5675AD">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2C8CDCF9">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0.128</w:t>
            </w:r>
          </w:p>
        </w:tc>
        <w:tc>
          <w:tcPr>
            <w:tcW w:w="567" w:type="dxa"/>
            <w:shd w:val="clear" w:color="auto" w:fill="auto"/>
            <w:vAlign w:val="center"/>
          </w:tcPr>
          <w:p w14:paraId="7241EB3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w:t>
            </w:r>
          </w:p>
        </w:tc>
        <w:tc>
          <w:tcPr>
            <w:tcW w:w="737" w:type="dxa"/>
            <w:shd w:val="clear" w:color="auto" w:fill="auto"/>
            <w:vAlign w:val="center"/>
          </w:tcPr>
          <w:p w14:paraId="45BA625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0.012</w:t>
            </w:r>
          </w:p>
        </w:tc>
        <w:tc>
          <w:tcPr>
            <w:tcW w:w="567" w:type="dxa"/>
            <w:vAlign w:val="center"/>
          </w:tcPr>
          <w:p w14:paraId="077C62BE">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3</w:t>
            </w:r>
          </w:p>
        </w:tc>
        <w:tc>
          <w:tcPr>
            <w:tcW w:w="737" w:type="dxa"/>
            <w:shd w:val="clear" w:color="auto" w:fill="auto"/>
            <w:vAlign w:val="center"/>
          </w:tcPr>
          <w:p w14:paraId="4B46AF1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0.015</w:t>
            </w:r>
          </w:p>
        </w:tc>
        <w:tc>
          <w:tcPr>
            <w:tcW w:w="567" w:type="dxa"/>
            <w:vAlign w:val="center"/>
          </w:tcPr>
          <w:p w14:paraId="57B74087">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3</w:t>
            </w:r>
          </w:p>
        </w:tc>
      </w:tr>
    </w:tbl>
    <w:p w14:paraId="25EFF629">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2.3.1.2.2 各含量样品的统计量和方差</w:t>
      </w:r>
    </w:p>
    <w:p w14:paraId="7BDE3B4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计算得到5个含量样品的统计量如</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所示。并由此计算</w:t>
      </w:r>
      <w:r>
        <w:rPr>
          <w:rFonts w:hint="default" w:ascii="Times New Roman" w:hAnsi="Times New Roman" w:eastAsia="宋体" w:cs="Times New Roman"/>
          <w:i/>
          <w:iCs/>
          <w:sz w:val="21"/>
          <w:szCs w:val="21"/>
        </w:rPr>
        <w:t>j</w:t>
      </w:r>
      <w:r>
        <w:rPr>
          <w:rFonts w:hint="default" w:ascii="Times New Roman" w:hAnsi="Times New Roman" w:eastAsia="宋体" w:cs="Times New Roman"/>
          <w:sz w:val="21"/>
          <w:szCs w:val="21"/>
        </w:rPr>
        <w:t>水平下重复性方差</w:t>
      </w:r>
      <w:r>
        <w:rPr>
          <w:rFonts w:hint="default" w:ascii="Times New Roman" w:hAnsi="Times New Roman" w:eastAsia="宋体" w:cs="Times New Roman"/>
          <w:position w:val="-14"/>
          <w:sz w:val="21"/>
          <w:szCs w:val="21"/>
        </w:rPr>
        <w:drawing>
          <wp:inline distT="0" distB="0" distL="114300" distR="114300">
            <wp:extent cx="189865" cy="253365"/>
            <wp:effectExtent l="0" t="0" r="0" b="13970"/>
            <wp:docPr id="40" name="图片 83"/>
            <wp:cNvGraphicFramePr/>
            <a:graphic xmlns:a="http://schemas.openxmlformats.org/drawingml/2006/main">
              <a:graphicData uri="http://schemas.openxmlformats.org/drawingml/2006/picture">
                <pic:pic xmlns:pic="http://schemas.openxmlformats.org/drawingml/2006/picture">
                  <pic:nvPicPr>
                    <pic:cNvPr id="40" name="图片 83"/>
                    <pic:cNvPicPr/>
                  </pic:nvPicPr>
                  <pic:blipFill>
                    <a:blip r:embed="rId227"/>
                    <a:stretch>
                      <a:fillRect/>
                    </a:stretch>
                  </pic:blipFill>
                  <pic:spPr>
                    <a:xfrm>
                      <a:off x="0" y="0"/>
                      <a:ext cx="189865" cy="253365"/>
                    </a:xfrm>
                    <a:prstGeom prst="rect">
                      <a:avLst/>
                    </a:prstGeom>
                    <a:noFill/>
                    <a:ln>
                      <a:noFill/>
                    </a:ln>
                  </pic:spPr>
                </pic:pic>
              </a:graphicData>
            </a:graphic>
          </wp:inline>
        </w:drawing>
      </w:r>
      <w:r>
        <w:rPr>
          <w:rFonts w:hint="default" w:ascii="Times New Roman" w:hAnsi="Times New Roman" w:eastAsia="宋体" w:cs="Times New Roman"/>
          <w:sz w:val="21"/>
          <w:szCs w:val="21"/>
        </w:rPr>
        <w:t>、实验室间方差</w:t>
      </w:r>
      <w:r>
        <w:rPr>
          <w:rFonts w:hint="default" w:ascii="Times New Roman" w:hAnsi="Times New Roman" w:eastAsia="宋体" w:cs="Times New Roman"/>
          <w:position w:val="-14"/>
          <w:sz w:val="21"/>
          <w:szCs w:val="21"/>
        </w:rPr>
        <w:drawing>
          <wp:inline distT="0" distB="0" distL="114300" distR="114300">
            <wp:extent cx="208280" cy="253365"/>
            <wp:effectExtent l="0" t="0" r="0" b="13970"/>
            <wp:docPr id="41" name="图片 84"/>
            <wp:cNvGraphicFramePr/>
            <a:graphic xmlns:a="http://schemas.openxmlformats.org/drawingml/2006/main">
              <a:graphicData uri="http://schemas.openxmlformats.org/drawingml/2006/picture">
                <pic:pic xmlns:pic="http://schemas.openxmlformats.org/drawingml/2006/picture">
                  <pic:nvPicPr>
                    <pic:cNvPr id="41" name="图片 84"/>
                    <pic:cNvPicPr/>
                  </pic:nvPicPr>
                  <pic:blipFill>
                    <a:blip r:embed="rId228"/>
                    <a:stretch>
                      <a:fillRect/>
                    </a:stretch>
                  </pic:blipFill>
                  <pic:spPr>
                    <a:xfrm>
                      <a:off x="0" y="0"/>
                      <a:ext cx="208280" cy="253365"/>
                    </a:xfrm>
                    <a:prstGeom prst="rect">
                      <a:avLst/>
                    </a:prstGeom>
                    <a:noFill/>
                    <a:ln>
                      <a:noFill/>
                    </a:ln>
                  </pic:spPr>
                </pic:pic>
              </a:graphicData>
            </a:graphic>
          </wp:inline>
        </w:drawing>
      </w:r>
      <w:r>
        <w:rPr>
          <w:rFonts w:hint="default" w:ascii="Times New Roman" w:hAnsi="Times New Roman" w:eastAsia="宋体" w:cs="Times New Roman"/>
          <w:sz w:val="21"/>
          <w:szCs w:val="21"/>
        </w:rPr>
        <w:t>和再现性方差</w:t>
      </w:r>
      <w:r>
        <w:rPr>
          <w:rFonts w:hint="default" w:ascii="Times New Roman" w:hAnsi="Times New Roman" w:eastAsia="宋体" w:cs="Times New Roman"/>
          <w:position w:val="-14"/>
          <w:sz w:val="21"/>
          <w:szCs w:val="21"/>
        </w:rPr>
        <w:drawing>
          <wp:inline distT="0" distB="0" distL="114300" distR="114300">
            <wp:extent cx="208280" cy="253365"/>
            <wp:effectExtent l="0" t="0" r="1270" b="13970"/>
            <wp:docPr id="42" name="图片 85"/>
            <wp:cNvGraphicFramePr/>
            <a:graphic xmlns:a="http://schemas.openxmlformats.org/drawingml/2006/main">
              <a:graphicData uri="http://schemas.openxmlformats.org/drawingml/2006/picture">
                <pic:pic xmlns:pic="http://schemas.openxmlformats.org/drawingml/2006/picture">
                  <pic:nvPicPr>
                    <pic:cNvPr id="42" name="图片 85"/>
                    <pic:cNvPicPr/>
                  </pic:nvPicPr>
                  <pic:blipFill>
                    <a:blip r:embed="rId229"/>
                    <a:stretch>
                      <a:fillRect/>
                    </a:stretch>
                  </pic:blipFill>
                  <pic:spPr>
                    <a:xfrm>
                      <a:off x="0" y="0"/>
                      <a:ext cx="208280" cy="253365"/>
                    </a:xfrm>
                    <a:prstGeom prst="rect">
                      <a:avLst/>
                    </a:prstGeom>
                    <a:noFill/>
                    <a:ln>
                      <a:noFill/>
                    </a:ln>
                  </pic:spPr>
                </pic:pic>
              </a:graphicData>
            </a:graphic>
          </wp:inline>
        </w:drawing>
      </w:r>
      <w:r>
        <w:rPr>
          <w:rFonts w:hint="default" w:ascii="Times New Roman" w:hAnsi="Times New Roman" w:eastAsia="宋体" w:cs="Times New Roman"/>
          <w:sz w:val="21"/>
          <w:szCs w:val="21"/>
        </w:rPr>
        <w:t>（</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10）：</w:t>
      </w:r>
    </w:p>
    <w:p w14:paraId="55DF5F90">
      <w:pPr>
        <w:pStyle w:val="8"/>
        <w:keepNext/>
        <w:bidi w:val="0"/>
        <w:spacing w:line="240" w:lineRule="auto"/>
        <w:ind w:firstLine="0" w:firstLineChars="0"/>
        <w:jc w:val="center"/>
        <w:rPr>
          <w:rFonts w:ascii="Times New Roman" w:hAnsi="Times New Roman" w:eastAsia="黑体" w:cs="Calibri"/>
          <w:sz w:val="18"/>
          <w:szCs w:val="22"/>
          <w:lang w:val="en-US" w:eastAsia="zh-CN"/>
        </w:rPr>
      </w:pPr>
      <w:r>
        <w:rPr>
          <w:rFonts w:hint="eastAsia" w:ascii="Times New Roman" w:hAnsi="Times New Roman" w:eastAsia="黑体" w:cs="Calibri"/>
          <w:sz w:val="18"/>
          <w:szCs w:val="22"/>
          <w:lang w:val="en-US" w:eastAsia="zh-CN"/>
        </w:rPr>
        <w:t>表3-10</w:t>
      </w:r>
      <w:r>
        <w:rPr>
          <w:rFonts w:ascii="Times New Roman" w:hAnsi="Times New Roman" w:eastAsia="黑体" w:cs="Calibri"/>
          <w:sz w:val="18"/>
          <w:szCs w:val="22"/>
          <w:lang w:val="en-US" w:eastAsia="zh-CN"/>
        </w:rPr>
        <w:t xml:space="preserve"> 5个含量样品重复性和再现性统计分析</w:t>
      </w:r>
    </w:p>
    <w:tbl>
      <w:tblPr>
        <w:tblStyle w:val="16"/>
        <w:tblW w:w="7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001"/>
        <w:gridCol w:w="1148"/>
        <w:gridCol w:w="1148"/>
        <w:gridCol w:w="1294"/>
        <w:gridCol w:w="1296"/>
      </w:tblGrid>
      <w:tr w14:paraId="7392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1672" w:type="dxa"/>
            <w:vMerge w:val="restart"/>
            <w:vAlign w:val="center"/>
          </w:tcPr>
          <w:p w14:paraId="4EAE5EB3">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统计量</w:t>
            </w:r>
          </w:p>
        </w:tc>
        <w:tc>
          <w:tcPr>
            <w:tcW w:w="5887" w:type="dxa"/>
            <w:gridSpan w:val="5"/>
          </w:tcPr>
          <w:p w14:paraId="45A9D21A">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水平</w:t>
            </w:r>
            <w:r>
              <w:rPr>
                <w:rFonts w:hint="default" w:ascii="Times New Roman" w:hAnsi="Times New Roman" w:eastAsia="宋体" w:cs="Times New Roman"/>
                <w:b/>
                <w:bCs/>
                <w:i/>
                <w:iCs/>
                <w:position w:val="-12"/>
                <w:sz w:val="18"/>
                <w:szCs w:val="18"/>
              </w:rPr>
              <w:t>j</w:t>
            </w:r>
            <w:r>
              <w:rPr>
                <w:rFonts w:hint="default" w:ascii="Times New Roman" w:hAnsi="Times New Roman" w:eastAsia="宋体" w:cs="Times New Roman"/>
                <w:b/>
                <w:bCs/>
                <w:position w:val="-12"/>
                <w:sz w:val="18"/>
                <w:szCs w:val="18"/>
              </w:rPr>
              <w:t>（%）</w:t>
            </w:r>
          </w:p>
        </w:tc>
      </w:tr>
      <w:tr w14:paraId="14C0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1672" w:type="dxa"/>
            <w:vMerge w:val="continue"/>
          </w:tcPr>
          <w:p w14:paraId="0DBD757C">
            <w:pPr>
              <w:jc w:val="center"/>
              <w:rPr>
                <w:rFonts w:hint="default" w:ascii="Times New Roman" w:hAnsi="Times New Roman" w:eastAsia="宋体" w:cs="Times New Roman"/>
                <w:b/>
                <w:bCs/>
                <w:position w:val="-12"/>
                <w:sz w:val="18"/>
                <w:szCs w:val="18"/>
              </w:rPr>
            </w:pPr>
          </w:p>
        </w:tc>
        <w:tc>
          <w:tcPr>
            <w:tcW w:w="1001" w:type="dxa"/>
          </w:tcPr>
          <w:p w14:paraId="5B6ECE4C">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1</w:t>
            </w:r>
          </w:p>
        </w:tc>
        <w:tc>
          <w:tcPr>
            <w:tcW w:w="1148" w:type="dxa"/>
          </w:tcPr>
          <w:p w14:paraId="7C361284">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2</w:t>
            </w:r>
          </w:p>
        </w:tc>
        <w:tc>
          <w:tcPr>
            <w:tcW w:w="1148" w:type="dxa"/>
          </w:tcPr>
          <w:p w14:paraId="4D61F05D">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3</w:t>
            </w:r>
          </w:p>
        </w:tc>
        <w:tc>
          <w:tcPr>
            <w:tcW w:w="1294" w:type="dxa"/>
          </w:tcPr>
          <w:p w14:paraId="393287C5">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4</w:t>
            </w:r>
          </w:p>
        </w:tc>
        <w:tc>
          <w:tcPr>
            <w:tcW w:w="1296" w:type="dxa"/>
          </w:tcPr>
          <w:p w14:paraId="3D86E602">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5</w:t>
            </w:r>
          </w:p>
        </w:tc>
      </w:tr>
      <w:tr w14:paraId="0C97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72" w:type="dxa"/>
          </w:tcPr>
          <w:p w14:paraId="2312BD10">
            <w:pPr>
              <w:jc w:val="center"/>
              <w:rPr>
                <w:rFonts w:hint="default" w:ascii="Times New Roman" w:hAnsi="Times New Roman" w:eastAsia="宋体" w:cs="Times New Roman"/>
                <w:b/>
                <w:bCs/>
                <w:position w:val="-12"/>
                <w:sz w:val="18"/>
                <w:szCs w:val="18"/>
              </w:rPr>
            </w:pPr>
            <w:r>
              <w:rPr>
                <w:rFonts w:hint="default" w:ascii="Times New Roman" w:hAnsi="Times New Roman" w:eastAsia="宋体" w:cs="Times New Roman"/>
                <w:b/>
                <w:bCs/>
                <w:position w:val="-12"/>
                <w:sz w:val="18"/>
                <w:szCs w:val="18"/>
              </w:rPr>
              <w:t>标称值%</w:t>
            </w:r>
          </w:p>
        </w:tc>
        <w:tc>
          <w:tcPr>
            <w:tcW w:w="1001" w:type="dxa"/>
            <w:vAlign w:val="center"/>
          </w:tcPr>
          <w:p w14:paraId="1D0E817B">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5.0</w:t>
            </w:r>
          </w:p>
        </w:tc>
        <w:tc>
          <w:tcPr>
            <w:tcW w:w="1148" w:type="dxa"/>
            <w:vAlign w:val="center"/>
          </w:tcPr>
          <w:p w14:paraId="1E24422A">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3.0</w:t>
            </w:r>
          </w:p>
        </w:tc>
        <w:tc>
          <w:tcPr>
            <w:tcW w:w="1148" w:type="dxa"/>
            <w:vAlign w:val="center"/>
          </w:tcPr>
          <w:p w14:paraId="1575230D">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1.0</w:t>
            </w:r>
          </w:p>
        </w:tc>
        <w:tc>
          <w:tcPr>
            <w:tcW w:w="1294" w:type="dxa"/>
            <w:vAlign w:val="center"/>
          </w:tcPr>
          <w:p w14:paraId="6ABD1CE3">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0.5</w:t>
            </w:r>
          </w:p>
        </w:tc>
        <w:tc>
          <w:tcPr>
            <w:tcW w:w="1296" w:type="dxa"/>
            <w:vAlign w:val="center"/>
          </w:tcPr>
          <w:p w14:paraId="458BA3F9">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0.1</w:t>
            </w:r>
          </w:p>
        </w:tc>
      </w:tr>
      <w:tr w14:paraId="6B1A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72" w:type="dxa"/>
          </w:tcPr>
          <w:p w14:paraId="65F18899">
            <w:pPr>
              <w:widowControl/>
              <w:jc w:val="center"/>
              <w:rPr>
                <w:rFonts w:hint="default" w:ascii="Times New Roman" w:hAnsi="Times New Roman" w:eastAsia="宋体" w:cs="Times New Roman"/>
                <w:position w:val="-12"/>
                <w:sz w:val="18"/>
                <w:szCs w:val="18"/>
              </w:rPr>
            </w:pPr>
            <w:r>
              <w:rPr>
                <w:rFonts w:hint="default" w:ascii="Times New Roman" w:hAnsi="Times New Roman" w:eastAsia="宋体" w:cs="Times New Roman"/>
                <w:b/>
                <w:bCs/>
                <w:i/>
                <w:kern w:val="0"/>
                <w:sz w:val="18"/>
                <w:szCs w:val="18"/>
              </w:rPr>
              <w:t>T</w:t>
            </w:r>
            <w:r>
              <w:rPr>
                <w:rFonts w:hint="default" w:ascii="Times New Roman" w:hAnsi="Times New Roman" w:eastAsia="宋体" w:cs="Times New Roman"/>
                <w:b/>
                <w:bCs/>
                <w:kern w:val="0"/>
                <w:sz w:val="18"/>
                <w:szCs w:val="18"/>
                <w:vertAlign w:val="subscript"/>
              </w:rPr>
              <w:t>1j</w:t>
            </w:r>
          </w:p>
        </w:tc>
        <w:tc>
          <w:tcPr>
            <w:tcW w:w="1001" w:type="dxa"/>
            <w:shd w:val="clear" w:color="auto" w:fill="auto"/>
            <w:vAlign w:val="center"/>
          </w:tcPr>
          <w:p w14:paraId="68F28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121.670</w:t>
            </w:r>
          </w:p>
        </w:tc>
        <w:tc>
          <w:tcPr>
            <w:tcW w:w="1148" w:type="dxa"/>
            <w:shd w:val="clear" w:color="auto" w:fill="auto"/>
            <w:vAlign w:val="center"/>
          </w:tcPr>
          <w:p w14:paraId="49A29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73.600</w:t>
            </w:r>
          </w:p>
        </w:tc>
        <w:tc>
          <w:tcPr>
            <w:tcW w:w="1148" w:type="dxa"/>
            <w:shd w:val="clear" w:color="auto" w:fill="auto"/>
            <w:vAlign w:val="center"/>
          </w:tcPr>
          <w:p w14:paraId="20F57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22.910</w:t>
            </w:r>
          </w:p>
        </w:tc>
        <w:tc>
          <w:tcPr>
            <w:tcW w:w="1294" w:type="dxa"/>
            <w:shd w:val="clear" w:color="auto" w:fill="auto"/>
            <w:vAlign w:val="center"/>
          </w:tcPr>
          <w:p w14:paraId="77734F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13.050</w:t>
            </w:r>
          </w:p>
        </w:tc>
        <w:tc>
          <w:tcPr>
            <w:tcW w:w="1296" w:type="dxa"/>
            <w:shd w:val="clear" w:color="auto" w:fill="auto"/>
            <w:vAlign w:val="center"/>
          </w:tcPr>
          <w:p w14:paraId="5B000F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2.570</w:t>
            </w:r>
          </w:p>
        </w:tc>
      </w:tr>
      <w:tr w14:paraId="38B7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72" w:type="dxa"/>
          </w:tcPr>
          <w:p w14:paraId="3E9E847B">
            <w:pPr>
              <w:widowControl/>
              <w:jc w:val="center"/>
              <w:rPr>
                <w:rFonts w:hint="default" w:ascii="Times New Roman" w:hAnsi="Times New Roman" w:eastAsia="宋体" w:cs="Times New Roman"/>
                <w:position w:val="-12"/>
                <w:sz w:val="18"/>
                <w:szCs w:val="18"/>
              </w:rPr>
            </w:pPr>
            <w:r>
              <w:rPr>
                <w:rFonts w:hint="default" w:ascii="Times New Roman" w:hAnsi="Times New Roman" w:eastAsia="宋体" w:cs="Times New Roman"/>
                <w:b/>
                <w:bCs/>
                <w:i/>
                <w:kern w:val="0"/>
                <w:sz w:val="18"/>
                <w:szCs w:val="18"/>
              </w:rPr>
              <w:t>T</w:t>
            </w:r>
            <w:r>
              <w:rPr>
                <w:rFonts w:hint="default" w:ascii="Times New Roman" w:hAnsi="Times New Roman" w:eastAsia="宋体" w:cs="Times New Roman"/>
                <w:b/>
                <w:bCs/>
                <w:kern w:val="0"/>
                <w:sz w:val="18"/>
                <w:szCs w:val="18"/>
                <w:vertAlign w:val="subscript"/>
              </w:rPr>
              <w:t>2j</w:t>
            </w:r>
          </w:p>
        </w:tc>
        <w:tc>
          <w:tcPr>
            <w:tcW w:w="1001" w:type="dxa"/>
            <w:shd w:val="clear" w:color="auto" w:fill="auto"/>
            <w:vAlign w:val="center"/>
          </w:tcPr>
          <w:p w14:paraId="2E06E7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621.256</w:t>
            </w:r>
          </w:p>
        </w:tc>
        <w:tc>
          <w:tcPr>
            <w:tcW w:w="1148" w:type="dxa"/>
            <w:shd w:val="clear" w:color="auto" w:fill="auto"/>
            <w:vAlign w:val="center"/>
          </w:tcPr>
          <w:p w14:paraId="60F76F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227.487</w:t>
            </w:r>
          </w:p>
        </w:tc>
        <w:tc>
          <w:tcPr>
            <w:tcW w:w="1148" w:type="dxa"/>
            <w:shd w:val="clear" w:color="auto" w:fill="auto"/>
            <w:vAlign w:val="center"/>
          </w:tcPr>
          <w:p w14:paraId="35D942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22.000</w:t>
            </w:r>
          </w:p>
        </w:tc>
        <w:tc>
          <w:tcPr>
            <w:tcW w:w="1294" w:type="dxa"/>
            <w:shd w:val="clear" w:color="auto" w:fill="auto"/>
            <w:vAlign w:val="center"/>
          </w:tcPr>
          <w:p w14:paraId="0299F2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7.143</w:t>
            </w:r>
          </w:p>
        </w:tc>
        <w:tc>
          <w:tcPr>
            <w:tcW w:w="1296" w:type="dxa"/>
            <w:shd w:val="clear" w:color="auto" w:fill="auto"/>
            <w:vAlign w:val="center"/>
          </w:tcPr>
          <w:p w14:paraId="78345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0.276</w:t>
            </w:r>
          </w:p>
        </w:tc>
      </w:tr>
      <w:tr w14:paraId="388F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72" w:type="dxa"/>
          </w:tcPr>
          <w:p w14:paraId="53DF1F27">
            <w:pPr>
              <w:widowControl/>
              <w:jc w:val="center"/>
              <w:rPr>
                <w:rFonts w:hint="default" w:ascii="Times New Roman" w:hAnsi="Times New Roman" w:eastAsia="宋体" w:cs="Times New Roman"/>
                <w:position w:val="-12"/>
                <w:sz w:val="18"/>
                <w:szCs w:val="18"/>
              </w:rPr>
            </w:pPr>
            <w:r>
              <w:rPr>
                <w:rFonts w:hint="default" w:ascii="Times New Roman" w:hAnsi="Times New Roman" w:eastAsia="宋体" w:cs="Times New Roman"/>
                <w:b/>
                <w:bCs/>
                <w:i/>
                <w:kern w:val="0"/>
                <w:sz w:val="18"/>
                <w:szCs w:val="18"/>
              </w:rPr>
              <w:t>T</w:t>
            </w:r>
            <w:r>
              <w:rPr>
                <w:rFonts w:hint="default" w:ascii="Times New Roman" w:hAnsi="Times New Roman" w:eastAsia="宋体" w:cs="Times New Roman"/>
                <w:b/>
                <w:bCs/>
                <w:kern w:val="0"/>
                <w:sz w:val="18"/>
                <w:szCs w:val="18"/>
                <w:vertAlign w:val="subscript"/>
              </w:rPr>
              <w:t>3j</w:t>
            </w:r>
          </w:p>
        </w:tc>
        <w:tc>
          <w:tcPr>
            <w:tcW w:w="1001" w:type="dxa"/>
            <w:shd w:val="clear" w:color="auto" w:fill="auto"/>
            <w:vAlign w:val="center"/>
          </w:tcPr>
          <w:p w14:paraId="495937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w:t>
            </w:r>
          </w:p>
        </w:tc>
        <w:tc>
          <w:tcPr>
            <w:tcW w:w="1148" w:type="dxa"/>
            <w:shd w:val="clear" w:color="auto" w:fill="auto"/>
            <w:vAlign w:val="center"/>
          </w:tcPr>
          <w:p w14:paraId="0F661C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w:t>
            </w:r>
          </w:p>
        </w:tc>
        <w:tc>
          <w:tcPr>
            <w:tcW w:w="1148" w:type="dxa"/>
            <w:shd w:val="clear" w:color="auto" w:fill="auto"/>
            <w:vAlign w:val="center"/>
          </w:tcPr>
          <w:p w14:paraId="41E9F0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w:t>
            </w:r>
          </w:p>
        </w:tc>
        <w:tc>
          <w:tcPr>
            <w:tcW w:w="1294" w:type="dxa"/>
            <w:shd w:val="clear" w:color="auto" w:fill="auto"/>
            <w:vAlign w:val="center"/>
          </w:tcPr>
          <w:p w14:paraId="32AC6C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w:t>
            </w:r>
          </w:p>
        </w:tc>
        <w:tc>
          <w:tcPr>
            <w:tcW w:w="1296" w:type="dxa"/>
            <w:shd w:val="clear" w:color="auto" w:fill="auto"/>
            <w:vAlign w:val="center"/>
          </w:tcPr>
          <w:p w14:paraId="2DA27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w:t>
            </w:r>
          </w:p>
        </w:tc>
      </w:tr>
      <w:tr w14:paraId="563D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72" w:type="dxa"/>
          </w:tcPr>
          <w:p w14:paraId="33442920">
            <w:pPr>
              <w:widowControl/>
              <w:jc w:val="center"/>
              <w:rPr>
                <w:rFonts w:hint="default" w:ascii="Times New Roman" w:hAnsi="Times New Roman" w:eastAsia="宋体" w:cs="Times New Roman"/>
                <w:position w:val="-12"/>
                <w:sz w:val="18"/>
                <w:szCs w:val="18"/>
              </w:rPr>
            </w:pPr>
            <w:r>
              <w:rPr>
                <w:rFonts w:hint="default" w:ascii="Times New Roman" w:hAnsi="Times New Roman" w:eastAsia="宋体" w:cs="Times New Roman"/>
                <w:b/>
                <w:bCs/>
                <w:i/>
                <w:kern w:val="0"/>
                <w:sz w:val="18"/>
                <w:szCs w:val="18"/>
              </w:rPr>
              <w:t>T</w:t>
            </w:r>
            <w:r>
              <w:rPr>
                <w:rFonts w:hint="default" w:ascii="Times New Roman" w:hAnsi="Times New Roman" w:eastAsia="宋体" w:cs="Times New Roman"/>
                <w:b/>
                <w:bCs/>
                <w:kern w:val="0"/>
                <w:sz w:val="18"/>
                <w:szCs w:val="18"/>
                <w:vertAlign w:val="subscript"/>
              </w:rPr>
              <w:t>4j</w:t>
            </w:r>
          </w:p>
        </w:tc>
        <w:tc>
          <w:tcPr>
            <w:tcW w:w="1001" w:type="dxa"/>
            <w:shd w:val="clear" w:color="auto" w:fill="auto"/>
            <w:vAlign w:val="center"/>
          </w:tcPr>
          <w:p w14:paraId="2B00DA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w:t>
            </w:r>
          </w:p>
        </w:tc>
        <w:tc>
          <w:tcPr>
            <w:tcW w:w="1148" w:type="dxa"/>
            <w:shd w:val="clear" w:color="auto" w:fill="auto"/>
            <w:vAlign w:val="center"/>
          </w:tcPr>
          <w:p w14:paraId="1018E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w:t>
            </w:r>
          </w:p>
        </w:tc>
        <w:tc>
          <w:tcPr>
            <w:tcW w:w="1148" w:type="dxa"/>
            <w:shd w:val="clear" w:color="auto" w:fill="auto"/>
            <w:vAlign w:val="center"/>
          </w:tcPr>
          <w:p w14:paraId="1655A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w:t>
            </w:r>
          </w:p>
        </w:tc>
        <w:tc>
          <w:tcPr>
            <w:tcW w:w="1294" w:type="dxa"/>
            <w:shd w:val="clear" w:color="auto" w:fill="auto"/>
            <w:vAlign w:val="center"/>
          </w:tcPr>
          <w:p w14:paraId="4BADC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w:t>
            </w:r>
          </w:p>
        </w:tc>
        <w:tc>
          <w:tcPr>
            <w:tcW w:w="1296" w:type="dxa"/>
            <w:shd w:val="clear" w:color="auto" w:fill="auto"/>
            <w:vAlign w:val="center"/>
          </w:tcPr>
          <w:p w14:paraId="0E4F6E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w:t>
            </w:r>
          </w:p>
        </w:tc>
      </w:tr>
      <w:tr w14:paraId="7B0A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72" w:type="dxa"/>
          </w:tcPr>
          <w:p w14:paraId="053746E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i/>
                <w:iCs/>
                <w:kern w:val="0"/>
                <w:sz w:val="18"/>
                <w:szCs w:val="18"/>
              </w:rPr>
              <w:t>T</w:t>
            </w:r>
            <w:r>
              <w:rPr>
                <w:rFonts w:hint="default" w:ascii="Times New Roman" w:hAnsi="Times New Roman" w:eastAsia="宋体" w:cs="Times New Roman"/>
                <w:b/>
                <w:bCs/>
                <w:kern w:val="0"/>
                <w:sz w:val="18"/>
                <w:szCs w:val="18"/>
                <w:vertAlign w:val="subscript"/>
              </w:rPr>
              <w:t>5j</w:t>
            </w:r>
          </w:p>
        </w:tc>
        <w:tc>
          <w:tcPr>
            <w:tcW w:w="1001" w:type="dxa"/>
            <w:shd w:val="clear" w:color="auto" w:fill="auto"/>
            <w:vAlign w:val="center"/>
          </w:tcPr>
          <w:p w14:paraId="544E4F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0.266</w:t>
            </w:r>
          </w:p>
        </w:tc>
        <w:tc>
          <w:tcPr>
            <w:tcW w:w="1148" w:type="dxa"/>
            <w:shd w:val="clear" w:color="auto" w:fill="auto"/>
            <w:vAlign w:val="center"/>
          </w:tcPr>
          <w:p w14:paraId="18D0F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0.151</w:t>
            </w:r>
          </w:p>
        </w:tc>
        <w:tc>
          <w:tcPr>
            <w:tcW w:w="1148" w:type="dxa"/>
            <w:shd w:val="clear" w:color="auto" w:fill="auto"/>
            <w:vAlign w:val="center"/>
          </w:tcPr>
          <w:p w14:paraId="529171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0.073</w:t>
            </w:r>
          </w:p>
        </w:tc>
        <w:tc>
          <w:tcPr>
            <w:tcW w:w="1294" w:type="dxa"/>
            <w:shd w:val="clear" w:color="auto" w:fill="auto"/>
            <w:vAlign w:val="center"/>
          </w:tcPr>
          <w:p w14:paraId="1327A0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0.005</w:t>
            </w:r>
          </w:p>
        </w:tc>
        <w:tc>
          <w:tcPr>
            <w:tcW w:w="1296" w:type="dxa"/>
            <w:shd w:val="clear" w:color="auto" w:fill="auto"/>
            <w:vAlign w:val="center"/>
          </w:tcPr>
          <w:p w14:paraId="224A7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0.001</w:t>
            </w:r>
          </w:p>
        </w:tc>
      </w:tr>
      <w:tr w14:paraId="42A8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672" w:type="dxa"/>
            <w:vAlign w:val="center"/>
          </w:tcPr>
          <w:p w14:paraId="6BA5E697">
            <w:pPr>
              <w:widowControl/>
              <w:jc w:val="center"/>
              <w:rPr>
                <w:rFonts w:hint="default" w:ascii="Times New Roman" w:hAnsi="Times New Roman" w:eastAsia="宋体" w:cs="Times New Roman"/>
                <w:i/>
                <w:iCs/>
                <w:position w:val="-12"/>
                <w:sz w:val="18"/>
                <w:szCs w:val="18"/>
              </w:rPr>
            </w:pPr>
            <w:r>
              <w:rPr>
                <w:rFonts w:hint="default" w:ascii="Times New Roman" w:hAnsi="Times New Roman" w:eastAsia="宋体" w:cs="Times New Roman"/>
                <w:b/>
                <w:bCs/>
                <w:kern w:val="0"/>
                <w:sz w:val="18"/>
                <w:szCs w:val="18"/>
              </w:rPr>
              <w:t>重复性方差</w:t>
            </w:r>
            <w:r>
              <w:rPr>
                <w:rFonts w:hint="default" w:ascii="Times New Roman" w:hAnsi="Times New Roman" w:eastAsia="宋体" w:cs="Times New Roman"/>
                <w:b/>
                <w:bCs/>
                <w:kern w:val="0"/>
                <w:sz w:val="18"/>
                <w:szCs w:val="18"/>
              </w:rPr>
              <w:fldChar w:fldCharType="begin"/>
            </w:r>
            <w:r>
              <w:rPr>
                <w:rFonts w:hint="default" w:ascii="Times New Roman" w:hAnsi="Times New Roman" w:eastAsia="宋体" w:cs="Times New Roman"/>
                <w:b/>
                <w:bCs/>
                <w:kern w:val="0"/>
                <w:sz w:val="18"/>
                <w:szCs w:val="18"/>
              </w:rPr>
              <w:instrText xml:space="preserve"> QUOTE </w:instrText>
            </w:r>
            <w:r>
              <w:rPr>
                <w:rFonts w:hint="default" w:ascii="Times New Roman" w:hAnsi="Times New Roman" w:eastAsia="宋体" w:cs="Times New Roman"/>
                <w:position w:val="-17"/>
                <w:sz w:val="18"/>
                <w:szCs w:val="18"/>
              </w:rPr>
              <w:drawing>
                <wp:inline distT="0" distB="0" distL="114300" distR="114300">
                  <wp:extent cx="152400" cy="295275"/>
                  <wp:effectExtent l="0" t="0" r="0" b="6985"/>
                  <wp:docPr id="7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5"/>
                          <pic:cNvPicPr>
                            <a:picLocks noChangeAspect="1"/>
                          </pic:cNvPicPr>
                        </pic:nvPicPr>
                        <pic:blipFill>
                          <a:blip r:embed="rId230">
                            <a:clrChange>
                              <a:clrFrom>
                                <a:srgbClr val="FFFFFF"/>
                              </a:clrFrom>
                              <a:clrTo>
                                <a:srgbClr val="FFFFFF">
                                  <a:alpha val="0"/>
                                </a:srgbClr>
                              </a:clrTo>
                            </a:clrChange>
                            <a:lum/>
                          </a:blip>
                          <a:stretch>
                            <a:fillRect/>
                          </a:stretch>
                        </pic:blipFill>
                        <pic:spPr>
                          <a:xfrm>
                            <a:off x="0" y="0"/>
                            <a:ext cx="152400" cy="295275"/>
                          </a:xfrm>
                          <a:prstGeom prst="rect">
                            <a:avLst/>
                          </a:prstGeom>
                          <a:noFill/>
                          <a:ln>
                            <a:noFill/>
                          </a:ln>
                        </pic:spPr>
                      </pic:pic>
                    </a:graphicData>
                  </a:graphic>
                </wp:inline>
              </w:drawing>
            </w:r>
            <w:r>
              <w:rPr>
                <w:rFonts w:hint="default" w:ascii="Times New Roman" w:hAnsi="Times New Roman" w:eastAsia="宋体" w:cs="Times New Roman"/>
                <w:b/>
                <w:bCs/>
                <w:kern w:val="0"/>
                <w:sz w:val="18"/>
                <w:szCs w:val="18"/>
              </w:rPr>
              <w:fldChar w:fldCharType="separate"/>
            </w:r>
            <w:r>
              <w:rPr>
                <w:rFonts w:hint="default" w:ascii="Times New Roman" w:hAnsi="Times New Roman" w:eastAsia="宋体" w:cs="Times New Roman"/>
                <w:position w:val="-14"/>
                <w:sz w:val="18"/>
                <w:szCs w:val="18"/>
              </w:rPr>
              <w:drawing>
                <wp:inline distT="0" distB="0" distL="114300" distR="114300">
                  <wp:extent cx="189865" cy="253365"/>
                  <wp:effectExtent l="0" t="0" r="0" b="13970"/>
                  <wp:docPr id="43" name="图片 86"/>
                  <wp:cNvGraphicFramePr/>
                  <a:graphic xmlns:a="http://schemas.openxmlformats.org/drawingml/2006/main">
                    <a:graphicData uri="http://schemas.openxmlformats.org/drawingml/2006/picture">
                      <pic:pic xmlns:pic="http://schemas.openxmlformats.org/drawingml/2006/picture">
                        <pic:nvPicPr>
                          <pic:cNvPr id="43" name="图片 86"/>
                          <pic:cNvPicPr/>
                        </pic:nvPicPr>
                        <pic:blipFill>
                          <a:blip r:embed="rId227"/>
                          <a:stretch>
                            <a:fillRect/>
                          </a:stretch>
                        </pic:blipFill>
                        <pic:spPr>
                          <a:xfrm>
                            <a:off x="0" y="0"/>
                            <a:ext cx="189865" cy="253365"/>
                          </a:xfrm>
                          <a:prstGeom prst="rect">
                            <a:avLst/>
                          </a:prstGeom>
                          <a:noFill/>
                          <a:ln>
                            <a:noFill/>
                          </a:ln>
                        </pic:spPr>
                      </pic:pic>
                    </a:graphicData>
                  </a:graphic>
                </wp:inline>
              </w:drawing>
            </w:r>
            <w:r>
              <w:rPr>
                <w:rFonts w:hint="default" w:ascii="Times New Roman" w:hAnsi="Times New Roman" w:eastAsia="宋体" w:cs="Times New Roman"/>
                <w:b/>
                <w:bCs/>
                <w:kern w:val="0"/>
                <w:sz w:val="18"/>
                <w:szCs w:val="18"/>
              </w:rPr>
              <w:fldChar w:fldCharType="end"/>
            </w:r>
          </w:p>
        </w:tc>
        <w:tc>
          <w:tcPr>
            <w:tcW w:w="1001" w:type="dxa"/>
            <w:shd w:val="clear" w:color="auto" w:fill="auto"/>
            <w:vAlign w:val="center"/>
          </w:tcPr>
          <w:p w14:paraId="3D67CA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1.66E-02</w:t>
            </w:r>
          </w:p>
        </w:tc>
        <w:tc>
          <w:tcPr>
            <w:tcW w:w="1148" w:type="dxa"/>
            <w:shd w:val="clear" w:color="auto" w:fill="auto"/>
            <w:vAlign w:val="center"/>
          </w:tcPr>
          <w:p w14:paraId="2EAEF0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6.30E-03</w:t>
            </w:r>
          </w:p>
        </w:tc>
        <w:tc>
          <w:tcPr>
            <w:tcW w:w="1148" w:type="dxa"/>
            <w:shd w:val="clear" w:color="auto" w:fill="auto"/>
            <w:vAlign w:val="center"/>
          </w:tcPr>
          <w:p w14:paraId="60BB2C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3.04E-03</w:t>
            </w:r>
          </w:p>
        </w:tc>
        <w:tc>
          <w:tcPr>
            <w:tcW w:w="1294" w:type="dxa"/>
            <w:shd w:val="clear" w:color="auto" w:fill="auto"/>
            <w:vAlign w:val="center"/>
          </w:tcPr>
          <w:p w14:paraId="288C8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2.17E-04</w:t>
            </w:r>
          </w:p>
        </w:tc>
        <w:tc>
          <w:tcPr>
            <w:tcW w:w="1296" w:type="dxa"/>
            <w:shd w:val="clear" w:color="auto" w:fill="auto"/>
            <w:vAlign w:val="center"/>
          </w:tcPr>
          <w:p w14:paraId="4CB01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4.72E-05</w:t>
            </w:r>
          </w:p>
        </w:tc>
      </w:tr>
      <w:tr w14:paraId="564F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672" w:type="dxa"/>
            <w:vAlign w:val="center"/>
          </w:tcPr>
          <w:p w14:paraId="05896732">
            <w:pPr>
              <w:widowControl/>
              <w:jc w:val="center"/>
              <w:rPr>
                <w:rFonts w:hint="default" w:ascii="Times New Roman" w:hAnsi="Times New Roman" w:eastAsia="宋体" w:cs="Times New Roman"/>
                <w:i/>
                <w:iCs/>
                <w:position w:val="-12"/>
                <w:sz w:val="18"/>
                <w:szCs w:val="18"/>
              </w:rPr>
            </w:pPr>
            <w:r>
              <w:rPr>
                <w:rFonts w:hint="default" w:ascii="Times New Roman" w:hAnsi="Times New Roman" w:eastAsia="宋体" w:cs="Times New Roman"/>
                <w:b/>
                <w:bCs/>
                <w:kern w:val="0"/>
                <w:sz w:val="18"/>
                <w:szCs w:val="18"/>
              </w:rPr>
              <w:t>实验室间方差</w:t>
            </w:r>
            <w:r>
              <w:rPr>
                <w:rFonts w:hint="default" w:ascii="Times New Roman" w:hAnsi="Times New Roman" w:eastAsia="宋体" w:cs="Times New Roman"/>
                <w:b/>
                <w:bCs/>
                <w:kern w:val="0"/>
                <w:sz w:val="18"/>
                <w:szCs w:val="18"/>
              </w:rPr>
              <w:fldChar w:fldCharType="begin"/>
            </w:r>
            <w:r>
              <w:rPr>
                <w:rFonts w:hint="default" w:ascii="Times New Roman" w:hAnsi="Times New Roman" w:eastAsia="宋体" w:cs="Times New Roman"/>
                <w:b/>
                <w:bCs/>
                <w:kern w:val="0"/>
                <w:sz w:val="18"/>
                <w:szCs w:val="18"/>
              </w:rPr>
              <w:instrText xml:space="preserve"> QUOTE </w:instrText>
            </w:r>
            <w:r>
              <w:rPr>
                <w:rFonts w:hint="default" w:ascii="Times New Roman" w:hAnsi="Times New Roman" w:eastAsia="宋体" w:cs="Times New Roman"/>
                <w:position w:val="-17"/>
                <w:sz w:val="18"/>
                <w:szCs w:val="18"/>
              </w:rPr>
              <w:drawing>
                <wp:inline distT="0" distB="0" distL="114300" distR="114300">
                  <wp:extent cx="152400" cy="295275"/>
                  <wp:effectExtent l="0" t="0" r="0" b="6985"/>
                  <wp:docPr id="7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7"/>
                          <pic:cNvPicPr>
                            <a:picLocks noChangeAspect="1"/>
                          </pic:cNvPicPr>
                        </pic:nvPicPr>
                        <pic:blipFill>
                          <a:blip r:embed="rId231">
                            <a:clrChange>
                              <a:clrFrom>
                                <a:srgbClr val="FFFFFF"/>
                              </a:clrFrom>
                              <a:clrTo>
                                <a:srgbClr val="FFFFFF">
                                  <a:alpha val="0"/>
                                </a:srgbClr>
                              </a:clrTo>
                            </a:clrChange>
                            <a:lum/>
                          </a:blip>
                          <a:stretch>
                            <a:fillRect/>
                          </a:stretch>
                        </pic:blipFill>
                        <pic:spPr>
                          <a:xfrm>
                            <a:off x="0" y="0"/>
                            <a:ext cx="152400" cy="295275"/>
                          </a:xfrm>
                          <a:prstGeom prst="rect">
                            <a:avLst/>
                          </a:prstGeom>
                          <a:noFill/>
                          <a:ln>
                            <a:noFill/>
                          </a:ln>
                        </pic:spPr>
                      </pic:pic>
                    </a:graphicData>
                  </a:graphic>
                </wp:inline>
              </w:drawing>
            </w:r>
            <w:r>
              <w:rPr>
                <w:rFonts w:hint="default" w:ascii="Times New Roman" w:hAnsi="Times New Roman" w:eastAsia="宋体" w:cs="Times New Roman"/>
                <w:b/>
                <w:bCs/>
                <w:kern w:val="0"/>
                <w:sz w:val="18"/>
                <w:szCs w:val="18"/>
              </w:rPr>
              <w:fldChar w:fldCharType="separate"/>
            </w:r>
            <w:r>
              <w:rPr>
                <w:rFonts w:hint="default" w:ascii="Times New Roman" w:hAnsi="Times New Roman" w:eastAsia="宋体" w:cs="Times New Roman"/>
                <w:position w:val="-14"/>
                <w:sz w:val="18"/>
                <w:szCs w:val="18"/>
              </w:rPr>
              <w:drawing>
                <wp:inline distT="0" distB="0" distL="114300" distR="114300">
                  <wp:extent cx="208280" cy="253365"/>
                  <wp:effectExtent l="0" t="0" r="0" b="13970"/>
                  <wp:docPr id="44" name="图片 87"/>
                  <wp:cNvGraphicFramePr/>
                  <a:graphic xmlns:a="http://schemas.openxmlformats.org/drawingml/2006/main">
                    <a:graphicData uri="http://schemas.openxmlformats.org/drawingml/2006/picture">
                      <pic:pic xmlns:pic="http://schemas.openxmlformats.org/drawingml/2006/picture">
                        <pic:nvPicPr>
                          <pic:cNvPr id="44" name="图片 87"/>
                          <pic:cNvPicPr/>
                        </pic:nvPicPr>
                        <pic:blipFill>
                          <a:blip r:embed="rId228"/>
                          <a:stretch>
                            <a:fillRect/>
                          </a:stretch>
                        </pic:blipFill>
                        <pic:spPr>
                          <a:xfrm>
                            <a:off x="0" y="0"/>
                            <a:ext cx="208280" cy="253365"/>
                          </a:xfrm>
                          <a:prstGeom prst="rect">
                            <a:avLst/>
                          </a:prstGeom>
                          <a:noFill/>
                          <a:ln>
                            <a:noFill/>
                          </a:ln>
                        </pic:spPr>
                      </pic:pic>
                    </a:graphicData>
                  </a:graphic>
                </wp:inline>
              </w:drawing>
            </w:r>
            <w:r>
              <w:rPr>
                <w:rFonts w:hint="default" w:ascii="Times New Roman" w:hAnsi="Times New Roman" w:eastAsia="宋体" w:cs="Times New Roman"/>
                <w:b/>
                <w:bCs/>
                <w:kern w:val="0"/>
                <w:sz w:val="18"/>
                <w:szCs w:val="18"/>
              </w:rPr>
              <w:fldChar w:fldCharType="end"/>
            </w:r>
          </w:p>
        </w:tc>
        <w:tc>
          <w:tcPr>
            <w:tcW w:w="1001" w:type="dxa"/>
            <w:shd w:val="clear" w:color="auto" w:fill="auto"/>
            <w:vAlign w:val="center"/>
          </w:tcPr>
          <w:p w14:paraId="150E82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2.06E-01</w:t>
            </w:r>
          </w:p>
        </w:tc>
        <w:tc>
          <w:tcPr>
            <w:tcW w:w="1148" w:type="dxa"/>
            <w:shd w:val="clear" w:color="auto" w:fill="auto"/>
            <w:vAlign w:val="center"/>
          </w:tcPr>
          <w:p w14:paraId="1038E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8.27E-02</w:t>
            </w:r>
          </w:p>
        </w:tc>
        <w:tc>
          <w:tcPr>
            <w:tcW w:w="1148" w:type="dxa"/>
            <w:shd w:val="clear" w:color="auto" w:fill="auto"/>
            <w:vAlign w:val="center"/>
          </w:tcPr>
          <w:p w14:paraId="058EF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5.19E-03</w:t>
            </w:r>
          </w:p>
        </w:tc>
        <w:tc>
          <w:tcPr>
            <w:tcW w:w="1294" w:type="dxa"/>
            <w:shd w:val="clear" w:color="auto" w:fill="auto"/>
            <w:vAlign w:val="center"/>
          </w:tcPr>
          <w:p w14:paraId="73FB8F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2.15E-03</w:t>
            </w:r>
          </w:p>
        </w:tc>
        <w:tc>
          <w:tcPr>
            <w:tcW w:w="1296" w:type="dxa"/>
            <w:shd w:val="clear" w:color="auto" w:fill="auto"/>
            <w:vAlign w:val="center"/>
          </w:tcPr>
          <w:p w14:paraId="7E977F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2.06E-05</w:t>
            </w:r>
          </w:p>
        </w:tc>
      </w:tr>
      <w:tr w14:paraId="0A85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72" w:type="dxa"/>
          </w:tcPr>
          <w:p w14:paraId="6D6537A2">
            <w:pPr>
              <w:widowControl/>
              <w:jc w:val="center"/>
              <w:rPr>
                <w:rFonts w:hint="default" w:ascii="Times New Roman" w:hAnsi="Times New Roman" w:eastAsia="宋体" w:cs="Times New Roman"/>
                <w:i/>
                <w:iCs/>
                <w:position w:val="-12"/>
                <w:sz w:val="18"/>
                <w:szCs w:val="18"/>
              </w:rPr>
            </w:pPr>
            <w:r>
              <w:rPr>
                <w:rFonts w:hint="default" w:ascii="Times New Roman" w:hAnsi="Times New Roman" w:eastAsia="宋体" w:cs="Times New Roman"/>
                <w:b/>
                <w:bCs/>
                <w:kern w:val="0"/>
                <w:sz w:val="18"/>
                <w:szCs w:val="18"/>
              </w:rPr>
              <w:t>再现性方差</w:t>
            </w:r>
            <w:r>
              <w:rPr>
                <w:rFonts w:hint="default" w:ascii="Times New Roman" w:hAnsi="Times New Roman" w:eastAsia="宋体" w:cs="Times New Roman"/>
                <w:position w:val="-14"/>
                <w:sz w:val="18"/>
                <w:szCs w:val="18"/>
              </w:rPr>
              <w:drawing>
                <wp:inline distT="0" distB="0" distL="114300" distR="114300">
                  <wp:extent cx="208280" cy="253365"/>
                  <wp:effectExtent l="0" t="0" r="1270" b="13970"/>
                  <wp:docPr id="45" name="图片 88"/>
                  <wp:cNvGraphicFramePr/>
                  <a:graphic xmlns:a="http://schemas.openxmlformats.org/drawingml/2006/main">
                    <a:graphicData uri="http://schemas.openxmlformats.org/drawingml/2006/picture">
                      <pic:pic xmlns:pic="http://schemas.openxmlformats.org/drawingml/2006/picture">
                        <pic:nvPicPr>
                          <pic:cNvPr id="45" name="图片 88"/>
                          <pic:cNvPicPr/>
                        </pic:nvPicPr>
                        <pic:blipFill>
                          <a:blip r:embed="rId229"/>
                          <a:stretch>
                            <a:fillRect/>
                          </a:stretch>
                        </pic:blipFill>
                        <pic:spPr>
                          <a:xfrm>
                            <a:off x="0" y="0"/>
                            <a:ext cx="208280" cy="253365"/>
                          </a:xfrm>
                          <a:prstGeom prst="rect">
                            <a:avLst/>
                          </a:prstGeom>
                          <a:noFill/>
                          <a:ln>
                            <a:noFill/>
                          </a:ln>
                        </pic:spPr>
                      </pic:pic>
                    </a:graphicData>
                  </a:graphic>
                </wp:inline>
              </w:drawing>
            </w:r>
            <w:r>
              <w:rPr>
                <w:rFonts w:hint="default" w:ascii="Times New Roman" w:hAnsi="Times New Roman" w:eastAsia="宋体" w:cs="Times New Roman"/>
                <w:b/>
                <w:bCs/>
                <w:kern w:val="0"/>
                <w:sz w:val="18"/>
                <w:szCs w:val="18"/>
              </w:rPr>
              <w:fldChar w:fldCharType="begin"/>
            </w:r>
            <w:r>
              <w:rPr>
                <w:rFonts w:hint="default" w:ascii="Times New Roman" w:hAnsi="Times New Roman" w:eastAsia="宋体" w:cs="Times New Roman"/>
                <w:b/>
                <w:bCs/>
                <w:kern w:val="0"/>
                <w:sz w:val="18"/>
                <w:szCs w:val="18"/>
              </w:rPr>
              <w:instrText xml:space="preserve"> QUOTE </w:instrText>
            </w:r>
            <w:r>
              <w:rPr>
                <w:rFonts w:hint="default" w:ascii="Times New Roman" w:hAnsi="Times New Roman" w:eastAsia="宋体" w:cs="Times New Roman"/>
                <w:position w:val="-17"/>
                <w:sz w:val="18"/>
                <w:szCs w:val="18"/>
              </w:rPr>
              <w:drawing>
                <wp:inline distT="0" distB="0" distL="114300" distR="114300">
                  <wp:extent cx="161925" cy="295275"/>
                  <wp:effectExtent l="0" t="0" r="9525" b="6985"/>
                  <wp:docPr id="7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0"/>
                          <pic:cNvPicPr>
                            <a:picLocks noChangeAspect="1"/>
                          </pic:cNvPicPr>
                        </pic:nvPicPr>
                        <pic:blipFill>
                          <a:blip r:embed="rId232">
                            <a:clrChange>
                              <a:clrFrom>
                                <a:srgbClr val="FFFFFF"/>
                              </a:clrFrom>
                              <a:clrTo>
                                <a:srgbClr val="FFFFFF">
                                  <a:alpha val="0"/>
                                </a:srgbClr>
                              </a:clrTo>
                            </a:clrChange>
                            <a:lum/>
                          </a:blip>
                          <a:stretch>
                            <a:fillRect/>
                          </a:stretch>
                        </pic:blipFill>
                        <pic:spPr>
                          <a:xfrm>
                            <a:off x="0" y="0"/>
                            <a:ext cx="161925" cy="295275"/>
                          </a:xfrm>
                          <a:prstGeom prst="rect">
                            <a:avLst/>
                          </a:prstGeom>
                          <a:noFill/>
                          <a:ln>
                            <a:noFill/>
                          </a:ln>
                        </pic:spPr>
                      </pic:pic>
                    </a:graphicData>
                  </a:graphic>
                </wp:inline>
              </w:drawing>
            </w:r>
            <w:r>
              <w:rPr>
                <w:rFonts w:hint="default" w:ascii="Times New Roman" w:hAnsi="Times New Roman" w:eastAsia="宋体" w:cs="Times New Roman"/>
                <w:b/>
                <w:bCs/>
                <w:kern w:val="0"/>
                <w:sz w:val="18"/>
                <w:szCs w:val="18"/>
              </w:rPr>
              <w:fldChar w:fldCharType="end"/>
            </w:r>
          </w:p>
        </w:tc>
        <w:tc>
          <w:tcPr>
            <w:tcW w:w="1001" w:type="dxa"/>
            <w:shd w:val="clear" w:color="auto" w:fill="auto"/>
            <w:vAlign w:val="center"/>
          </w:tcPr>
          <w:p w14:paraId="6E4F28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2.23E-01</w:t>
            </w:r>
          </w:p>
        </w:tc>
        <w:tc>
          <w:tcPr>
            <w:tcW w:w="1148" w:type="dxa"/>
            <w:shd w:val="clear" w:color="auto" w:fill="auto"/>
            <w:vAlign w:val="center"/>
          </w:tcPr>
          <w:p w14:paraId="120A6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8.90E-02</w:t>
            </w:r>
          </w:p>
        </w:tc>
        <w:tc>
          <w:tcPr>
            <w:tcW w:w="1148" w:type="dxa"/>
            <w:shd w:val="clear" w:color="auto" w:fill="auto"/>
            <w:vAlign w:val="center"/>
          </w:tcPr>
          <w:p w14:paraId="4EF99E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8.23E-03</w:t>
            </w:r>
          </w:p>
        </w:tc>
        <w:tc>
          <w:tcPr>
            <w:tcW w:w="1294" w:type="dxa"/>
            <w:shd w:val="clear" w:color="auto" w:fill="auto"/>
            <w:vAlign w:val="center"/>
          </w:tcPr>
          <w:p w14:paraId="270AC7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2.37E-03</w:t>
            </w:r>
          </w:p>
        </w:tc>
        <w:tc>
          <w:tcPr>
            <w:tcW w:w="1296" w:type="dxa"/>
            <w:shd w:val="clear" w:color="auto" w:fill="auto"/>
            <w:vAlign w:val="center"/>
          </w:tcPr>
          <w:p w14:paraId="3120E0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6.78E-05</w:t>
            </w:r>
          </w:p>
        </w:tc>
      </w:tr>
    </w:tbl>
    <w:p w14:paraId="0179CE18">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lang w:val="en-US" w:eastAsia="zh-CN" w:bidi="ar-SA"/>
        </w:rPr>
      </w:pPr>
      <w:r>
        <w:rPr>
          <w:rFonts w:hint="eastAsia" w:ascii="Times New Roman" w:hAnsi="Times New Roman" w:eastAsia="黑体" w:cs="Calibri"/>
          <w:b w:val="0"/>
          <w:bCs/>
          <w:kern w:val="2"/>
          <w:sz w:val="21"/>
          <w:szCs w:val="28"/>
          <w:lang w:val="en-US" w:eastAsia="zh-CN" w:bidi="ar-SA"/>
        </w:rPr>
        <w:t>2.3.1.2.3 各含量样品重复性和再现性的标准差和相对性标准差</w:t>
      </w:r>
    </w:p>
    <w:p w14:paraId="3D7E743D">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8家联合定值实验室对5个含量样品进行检测，各实验室平行子样个数均相等，相当于重复次数相等，采用理想情况下精密度分析方法计算5个含量样品检测数据的重复性标准差</w:t>
      </w:r>
      <w:r>
        <w:rPr>
          <w:rFonts w:hint="default" w:ascii="Times New Roman" w:hAnsi="Times New Roman" w:eastAsia="宋体" w:cs="Times New Roman"/>
          <w:i/>
          <w:iCs/>
          <w:sz w:val="21"/>
          <w:szCs w:val="21"/>
        </w:rPr>
        <w:t>s</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vertAlign w:val="subscript"/>
        </w:rPr>
        <w:t>r</w:t>
      </w:r>
      <w:r>
        <w:rPr>
          <w:rFonts w:hint="default" w:ascii="Times New Roman" w:hAnsi="Times New Roman" w:eastAsia="宋体" w:cs="Times New Roman"/>
          <w:sz w:val="21"/>
          <w:szCs w:val="21"/>
        </w:rPr>
        <w:t>、重复性相对标准差</w:t>
      </w:r>
      <w:r>
        <w:rPr>
          <w:rFonts w:hint="default" w:ascii="Times New Roman" w:hAnsi="Times New Roman" w:eastAsia="宋体" w:cs="Times New Roman"/>
          <w:i/>
          <w:iCs/>
          <w:sz w:val="21"/>
          <w:szCs w:val="21"/>
        </w:rPr>
        <w:t>RSD</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vertAlign w:val="subscript"/>
        </w:rPr>
        <w:t>r</w:t>
      </w:r>
      <w:r>
        <w:rPr>
          <w:rFonts w:hint="default" w:ascii="Times New Roman" w:hAnsi="Times New Roman" w:eastAsia="宋体" w:cs="Times New Roman"/>
          <w:sz w:val="21"/>
          <w:szCs w:val="21"/>
        </w:rPr>
        <w:t>、再现性标准差</w:t>
      </w:r>
      <w:r>
        <w:rPr>
          <w:rFonts w:hint="default" w:ascii="Times New Roman" w:hAnsi="Times New Roman" w:eastAsia="宋体" w:cs="Times New Roman"/>
          <w:i/>
          <w:iCs/>
          <w:sz w:val="21"/>
          <w:szCs w:val="21"/>
        </w:rPr>
        <w:t>s</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vertAlign w:val="subscript"/>
        </w:rPr>
        <w:t>R</w:t>
      </w:r>
      <w:r>
        <w:rPr>
          <w:rFonts w:hint="default" w:ascii="Times New Roman" w:hAnsi="Times New Roman" w:eastAsia="宋体" w:cs="Times New Roman"/>
          <w:sz w:val="21"/>
          <w:szCs w:val="21"/>
        </w:rPr>
        <w:t>和再现性相对标准差</w:t>
      </w:r>
      <w:r>
        <w:rPr>
          <w:rFonts w:hint="default" w:ascii="Times New Roman" w:hAnsi="Times New Roman" w:eastAsia="宋体" w:cs="Times New Roman"/>
          <w:i/>
          <w:iCs/>
          <w:sz w:val="21"/>
          <w:szCs w:val="21"/>
        </w:rPr>
        <w:t>RSD</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vertAlign w:val="subscript"/>
        </w:rPr>
        <w:t>R</w:t>
      </w:r>
      <w:r>
        <w:rPr>
          <w:rFonts w:hint="default" w:ascii="Times New Roman" w:hAnsi="Times New Roman" w:eastAsia="宋体" w:cs="Times New Roman"/>
          <w:sz w:val="21"/>
          <w:szCs w:val="21"/>
        </w:rPr>
        <w:t>（</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11）。</w:t>
      </w:r>
    </w:p>
    <w:p w14:paraId="3E811010">
      <w:pPr>
        <w:pStyle w:val="8"/>
        <w:keepNext/>
        <w:bidi w:val="0"/>
        <w:spacing w:line="240" w:lineRule="auto"/>
        <w:ind w:firstLine="0" w:firstLineChars="0"/>
        <w:jc w:val="center"/>
        <w:rPr>
          <w:rFonts w:hint="default" w:ascii="Times New Roman" w:hAnsi="Times New Roman" w:eastAsia="黑体" w:cs="Calibri"/>
          <w:sz w:val="18"/>
          <w:szCs w:val="22"/>
          <w:highlight w:val="none"/>
          <w:lang w:val="en-US" w:eastAsia="zh-CN"/>
        </w:rPr>
      </w:pPr>
      <w:r>
        <w:rPr>
          <w:rFonts w:hint="eastAsia" w:ascii="Times New Roman" w:hAnsi="Times New Roman" w:eastAsia="黑体" w:cs="Calibri"/>
          <w:sz w:val="18"/>
          <w:szCs w:val="22"/>
          <w:highlight w:val="none"/>
          <w:lang w:val="en-US" w:eastAsia="zh-CN"/>
        </w:rPr>
        <w:t>表3-11</w:t>
      </w:r>
      <w:r>
        <w:rPr>
          <w:rFonts w:hint="default" w:ascii="Times New Roman" w:hAnsi="Times New Roman" w:eastAsia="黑体" w:cs="Calibri"/>
          <w:sz w:val="18"/>
          <w:szCs w:val="22"/>
          <w:highlight w:val="none"/>
          <w:lang w:val="en-US" w:eastAsia="zh-CN"/>
        </w:rPr>
        <w:t xml:space="preserve"> 5个含量样品的重复性和再现性分析</w:t>
      </w:r>
    </w:p>
    <w:tbl>
      <w:tblPr>
        <w:tblStyle w:val="16"/>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1217"/>
        <w:gridCol w:w="1217"/>
        <w:gridCol w:w="1217"/>
        <w:gridCol w:w="1217"/>
        <w:gridCol w:w="1219"/>
      </w:tblGrid>
      <w:tr w14:paraId="5DAC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vMerge w:val="restart"/>
            <w:vAlign w:val="center"/>
          </w:tcPr>
          <w:p w14:paraId="3D629C4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统计量</w:t>
            </w:r>
          </w:p>
        </w:tc>
        <w:tc>
          <w:tcPr>
            <w:tcW w:w="6087" w:type="dxa"/>
            <w:gridSpan w:val="5"/>
          </w:tcPr>
          <w:p w14:paraId="29DFF0F6">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水平</w:t>
            </w:r>
            <w:r>
              <w:rPr>
                <w:rFonts w:hint="default" w:ascii="Times New Roman" w:hAnsi="Times New Roman" w:eastAsia="宋体" w:cs="Times New Roman"/>
                <w:b/>
                <w:bCs/>
                <w:i/>
                <w:iCs/>
                <w:kern w:val="0"/>
                <w:sz w:val="18"/>
                <w:szCs w:val="18"/>
              </w:rPr>
              <w:t>j</w:t>
            </w:r>
            <w:r>
              <w:rPr>
                <w:rFonts w:hint="default" w:ascii="Times New Roman" w:hAnsi="Times New Roman" w:eastAsia="宋体" w:cs="Times New Roman"/>
                <w:b/>
                <w:bCs/>
                <w:kern w:val="0"/>
                <w:sz w:val="18"/>
                <w:szCs w:val="18"/>
              </w:rPr>
              <w:t>（%）</w:t>
            </w:r>
          </w:p>
        </w:tc>
      </w:tr>
      <w:tr w14:paraId="76D9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vMerge w:val="continue"/>
          </w:tcPr>
          <w:p w14:paraId="1F6F4586">
            <w:pPr>
              <w:widowControl/>
              <w:jc w:val="center"/>
              <w:rPr>
                <w:rFonts w:hint="default" w:ascii="Times New Roman" w:hAnsi="Times New Roman" w:eastAsia="宋体" w:cs="Times New Roman"/>
                <w:b/>
                <w:bCs/>
                <w:kern w:val="0"/>
                <w:sz w:val="18"/>
                <w:szCs w:val="18"/>
              </w:rPr>
            </w:pPr>
          </w:p>
        </w:tc>
        <w:tc>
          <w:tcPr>
            <w:tcW w:w="1217" w:type="dxa"/>
            <w:vAlign w:val="center"/>
          </w:tcPr>
          <w:p w14:paraId="4C157C0F">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1</w:t>
            </w:r>
          </w:p>
        </w:tc>
        <w:tc>
          <w:tcPr>
            <w:tcW w:w="1217" w:type="dxa"/>
            <w:vAlign w:val="center"/>
          </w:tcPr>
          <w:p w14:paraId="5465AA2A">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2</w:t>
            </w:r>
          </w:p>
        </w:tc>
        <w:tc>
          <w:tcPr>
            <w:tcW w:w="1217" w:type="dxa"/>
            <w:vAlign w:val="center"/>
          </w:tcPr>
          <w:p w14:paraId="6BEB1276">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3</w:t>
            </w:r>
          </w:p>
        </w:tc>
        <w:tc>
          <w:tcPr>
            <w:tcW w:w="1217" w:type="dxa"/>
            <w:vAlign w:val="center"/>
          </w:tcPr>
          <w:p w14:paraId="54B46CD2">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4</w:t>
            </w:r>
          </w:p>
        </w:tc>
        <w:tc>
          <w:tcPr>
            <w:tcW w:w="1219" w:type="dxa"/>
            <w:vAlign w:val="center"/>
          </w:tcPr>
          <w:p w14:paraId="1D447C62">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5</w:t>
            </w:r>
          </w:p>
        </w:tc>
      </w:tr>
      <w:tr w14:paraId="2077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tcPr>
          <w:p w14:paraId="7E9661BC">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标称值（%）</w:t>
            </w:r>
          </w:p>
        </w:tc>
        <w:tc>
          <w:tcPr>
            <w:tcW w:w="1217" w:type="dxa"/>
            <w:vAlign w:val="center"/>
          </w:tcPr>
          <w:p w14:paraId="5C1B1DB9">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5.0</w:t>
            </w:r>
          </w:p>
        </w:tc>
        <w:tc>
          <w:tcPr>
            <w:tcW w:w="1217" w:type="dxa"/>
            <w:vAlign w:val="center"/>
          </w:tcPr>
          <w:p w14:paraId="40BFEDD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3.0</w:t>
            </w:r>
          </w:p>
        </w:tc>
        <w:tc>
          <w:tcPr>
            <w:tcW w:w="1217" w:type="dxa"/>
            <w:vAlign w:val="center"/>
          </w:tcPr>
          <w:p w14:paraId="287003C9">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1.0</w:t>
            </w:r>
          </w:p>
        </w:tc>
        <w:tc>
          <w:tcPr>
            <w:tcW w:w="1217" w:type="dxa"/>
            <w:vAlign w:val="center"/>
          </w:tcPr>
          <w:p w14:paraId="5711BD1F">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0.5</w:t>
            </w:r>
          </w:p>
        </w:tc>
        <w:tc>
          <w:tcPr>
            <w:tcW w:w="1219" w:type="dxa"/>
            <w:vAlign w:val="center"/>
          </w:tcPr>
          <w:p w14:paraId="29C6E5E9">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0.1</w:t>
            </w:r>
          </w:p>
        </w:tc>
      </w:tr>
      <w:tr w14:paraId="38FE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tcPr>
          <w:p w14:paraId="3BEE09AC">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检测总平均值（%）</w:t>
            </w:r>
          </w:p>
        </w:tc>
        <w:tc>
          <w:tcPr>
            <w:tcW w:w="1217" w:type="dxa"/>
            <w:shd w:val="clear" w:color="auto" w:fill="auto"/>
            <w:vAlign w:val="center"/>
          </w:tcPr>
          <w:p w14:paraId="459F5333">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5.070</w:t>
            </w:r>
          </w:p>
        </w:tc>
        <w:tc>
          <w:tcPr>
            <w:tcW w:w="1217" w:type="dxa"/>
            <w:shd w:val="clear" w:color="auto" w:fill="auto"/>
            <w:vAlign w:val="center"/>
          </w:tcPr>
          <w:p w14:paraId="0D6E2BB1">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3.067</w:t>
            </w:r>
          </w:p>
        </w:tc>
        <w:tc>
          <w:tcPr>
            <w:tcW w:w="1217" w:type="dxa"/>
            <w:shd w:val="clear" w:color="auto" w:fill="auto"/>
            <w:vAlign w:val="center"/>
          </w:tcPr>
          <w:p w14:paraId="7EB7D96F">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0.955</w:t>
            </w:r>
          </w:p>
        </w:tc>
        <w:tc>
          <w:tcPr>
            <w:tcW w:w="1217" w:type="dxa"/>
            <w:shd w:val="clear" w:color="auto" w:fill="auto"/>
            <w:vAlign w:val="center"/>
          </w:tcPr>
          <w:p w14:paraId="5DA399C4">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0.544</w:t>
            </w:r>
          </w:p>
        </w:tc>
        <w:tc>
          <w:tcPr>
            <w:tcW w:w="1219" w:type="dxa"/>
            <w:shd w:val="clear" w:color="auto" w:fill="auto"/>
            <w:vAlign w:val="center"/>
          </w:tcPr>
          <w:p w14:paraId="2D3C8C40">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0.107</w:t>
            </w:r>
          </w:p>
        </w:tc>
      </w:tr>
      <w:tr w14:paraId="0D13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tcPr>
          <w:p w14:paraId="17C9E9FB">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重复性标准差</w:t>
            </w:r>
            <w:r>
              <w:rPr>
                <w:rFonts w:hint="default" w:ascii="Times New Roman" w:hAnsi="Times New Roman" w:eastAsia="宋体" w:cs="Times New Roman"/>
                <w:b/>
                <w:bCs/>
                <w:i/>
                <w:sz w:val="18"/>
                <w:szCs w:val="18"/>
              </w:rPr>
              <w:t>s</w:t>
            </w:r>
            <w:r>
              <w:rPr>
                <w:rFonts w:hint="default" w:ascii="Times New Roman" w:hAnsi="Times New Roman" w:eastAsia="宋体" w:cs="Times New Roman"/>
                <w:b/>
                <w:bCs/>
                <w:i/>
                <w:sz w:val="18"/>
                <w:szCs w:val="18"/>
                <w:vertAlign w:val="subscript"/>
              </w:rPr>
              <w:t>jr</w:t>
            </w:r>
          </w:p>
        </w:tc>
        <w:tc>
          <w:tcPr>
            <w:tcW w:w="1217" w:type="dxa"/>
            <w:shd w:val="clear" w:color="auto" w:fill="auto"/>
            <w:vAlign w:val="center"/>
          </w:tcPr>
          <w:p w14:paraId="29152F14">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1.290E-01</w:t>
            </w:r>
          </w:p>
        </w:tc>
        <w:tc>
          <w:tcPr>
            <w:tcW w:w="1217" w:type="dxa"/>
            <w:shd w:val="clear" w:color="auto" w:fill="auto"/>
            <w:vAlign w:val="center"/>
          </w:tcPr>
          <w:p w14:paraId="1FA6D4AB">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7.937E-02</w:t>
            </w:r>
          </w:p>
        </w:tc>
        <w:tc>
          <w:tcPr>
            <w:tcW w:w="1217" w:type="dxa"/>
            <w:shd w:val="clear" w:color="auto" w:fill="auto"/>
            <w:vAlign w:val="center"/>
          </w:tcPr>
          <w:p w14:paraId="1334DCDE">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5.515E-02</w:t>
            </w:r>
          </w:p>
        </w:tc>
        <w:tc>
          <w:tcPr>
            <w:tcW w:w="1217" w:type="dxa"/>
            <w:shd w:val="clear" w:color="auto" w:fill="auto"/>
            <w:vAlign w:val="center"/>
          </w:tcPr>
          <w:p w14:paraId="155885C3">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1.472E-02</w:t>
            </w:r>
          </w:p>
        </w:tc>
        <w:tc>
          <w:tcPr>
            <w:tcW w:w="1219" w:type="dxa"/>
            <w:shd w:val="clear" w:color="auto" w:fill="auto"/>
            <w:vAlign w:val="center"/>
          </w:tcPr>
          <w:p w14:paraId="19E84B29">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6.872E-03</w:t>
            </w:r>
          </w:p>
        </w:tc>
      </w:tr>
      <w:tr w14:paraId="1E7D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tcPr>
          <w:p w14:paraId="162146A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重复性相对标准差</w:t>
            </w:r>
            <w:r>
              <w:rPr>
                <w:rFonts w:hint="default" w:ascii="Times New Roman" w:hAnsi="Times New Roman" w:eastAsia="宋体" w:cs="Times New Roman"/>
                <w:b/>
                <w:bCs/>
                <w:i/>
                <w:iCs/>
                <w:sz w:val="18"/>
                <w:szCs w:val="18"/>
              </w:rPr>
              <w:t>RSD</w:t>
            </w:r>
            <w:r>
              <w:rPr>
                <w:rFonts w:hint="default" w:ascii="Times New Roman" w:hAnsi="Times New Roman" w:eastAsia="宋体" w:cs="Times New Roman"/>
                <w:b/>
                <w:bCs/>
                <w:i/>
                <w:iCs/>
                <w:sz w:val="18"/>
                <w:szCs w:val="18"/>
                <w:vertAlign w:val="subscript"/>
              </w:rPr>
              <w:t>jr</w:t>
            </w:r>
            <w:r>
              <w:rPr>
                <w:rFonts w:hint="default" w:ascii="Times New Roman" w:hAnsi="Times New Roman" w:eastAsia="宋体" w:cs="Times New Roman"/>
                <w:b/>
                <w:bCs/>
                <w:sz w:val="18"/>
                <w:szCs w:val="18"/>
              </w:rPr>
              <w:t>（%）</w:t>
            </w:r>
          </w:p>
        </w:tc>
        <w:tc>
          <w:tcPr>
            <w:tcW w:w="1217" w:type="dxa"/>
            <w:shd w:val="clear" w:color="auto" w:fill="auto"/>
            <w:vAlign w:val="center"/>
          </w:tcPr>
          <w:p w14:paraId="775DECF8">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2.544 </w:t>
            </w:r>
          </w:p>
        </w:tc>
        <w:tc>
          <w:tcPr>
            <w:tcW w:w="1217" w:type="dxa"/>
            <w:shd w:val="clear" w:color="auto" w:fill="auto"/>
            <w:vAlign w:val="center"/>
          </w:tcPr>
          <w:p w14:paraId="0F147D63">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2.588 </w:t>
            </w:r>
          </w:p>
        </w:tc>
        <w:tc>
          <w:tcPr>
            <w:tcW w:w="1217" w:type="dxa"/>
            <w:shd w:val="clear" w:color="auto" w:fill="auto"/>
            <w:vAlign w:val="center"/>
          </w:tcPr>
          <w:p w14:paraId="365F493E">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5.778 </w:t>
            </w:r>
          </w:p>
        </w:tc>
        <w:tc>
          <w:tcPr>
            <w:tcW w:w="1217" w:type="dxa"/>
            <w:shd w:val="clear" w:color="auto" w:fill="auto"/>
            <w:vAlign w:val="center"/>
          </w:tcPr>
          <w:p w14:paraId="66EDF8F1">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2.707 </w:t>
            </w:r>
          </w:p>
        </w:tc>
        <w:tc>
          <w:tcPr>
            <w:tcW w:w="1219" w:type="dxa"/>
            <w:shd w:val="clear" w:color="auto" w:fill="auto"/>
            <w:vAlign w:val="center"/>
          </w:tcPr>
          <w:p w14:paraId="7C095127">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6.417 </w:t>
            </w:r>
          </w:p>
        </w:tc>
      </w:tr>
      <w:tr w14:paraId="6004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tcPr>
          <w:p w14:paraId="03FBF430">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再现性标准差</w:t>
            </w:r>
            <w:r>
              <w:rPr>
                <w:rFonts w:hint="default" w:ascii="Times New Roman" w:hAnsi="Times New Roman" w:eastAsia="宋体" w:cs="Times New Roman"/>
                <w:b/>
                <w:bCs/>
                <w:i/>
                <w:sz w:val="18"/>
                <w:szCs w:val="18"/>
              </w:rPr>
              <w:t>s</w:t>
            </w:r>
            <w:r>
              <w:rPr>
                <w:rFonts w:hint="default" w:ascii="Times New Roman" w:hAnsi="Times New Roman" w:eastAsia="宋体" w:cs="Times New Roman"/>
                <w:b/>
                <w:bCs/>
                <w:i/>
                <w:sz w:val="18"/>
                <w:szCs w:val="18"/>
                <w:vertAlign w:val="subscript"/>
              </w:rPr>
              <w:t>j</w:t>
            </w:r>
            <w:r>
              <w:rPr>
                <w:rFonts w:hint="default" w:ascii="Times New Roman" w:hAnsi="Times New Roman" w:eastAsia="宋体" w:cs="Times New Roman"/>
                <w:b/>
                <w:bCs/>
                <w:sz w:val="18"/>
                <w:szCs w:val="18"/>
                <w:vertAlign w:val="subscript"/>
              </w:rPr>
              <w:t>R</w:t>
            </w:r>
          </w:p>
        </w:tc>
        <w:tc>
          <w:tcPr>
            <w:tcW w:w="1217" w:type="dxa"/>
            <w:shd w:val="clear" w:color="auto" w:fill="auto"/>
            <w:vAlign w:val="center"/>
          </w:tcPr>
          <w:p w14:paraId="1192CFF0">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4.717E-01</w:t>
            </w:r>
          </w:p>
        </w:tc>
        <w:tc>
          <w:tcPr>
            <w:tcW w:w="1217" w:type="dxa"/>
            <w:shd w:val="clear" w:color="auto" w:fill="auto"/>
            <w:vAlign w:val="center"/>
          </w:tcPr>
          <w:p w14:paraId="20544AFB">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2.983E-01</w:t>
            </w:r>
          </w:p>
        </w:tc>
        <w:tc>
          <w:tcPr>
            <w:tcW w:w="1217" w:type="dxa"/>
            <w:shd w:val="clear" w:color="auto" w:fill="auto"/>
            <w:vAlign w:val="center"/>
          </w:tcPr>
          <w:p w14:paraId="7984A7C6">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9.071E-02</w:t>
            </w:r>
          </w:p>
        </w:tc>
        <w:tc>
          <w:tcPr>
            <w:tcW w:w="1217" w:type="dxa"/>
            <w:shd w:val="clear" w:color="auto" w:fill="auto"/>
            <w:vAlign w:val="center"/>
          </w:tcPr>
          <w:p w14:paraId="39D0799D">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4.870E-02</w:t>
            </w:r>
          </w:p>
        </w:tc>
        <w:tc>
          <w:tcPr>
            <w:tcW w:w="1219" w:type="dxa"/>
            <w:shd w:val="clear" w:color="auto" w:fill="auto"/>
            <w:vAlign w:val="center"/>
          </w:tcPr>
          <w:p w14:paraId="427253E7">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8.234E-03</w:t>
            </w:r>
          </w:p>
        </w:tc>
      </w:tr>
      <w:tr w14:paraId="4864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5" w:type="dxa"/>
          </w:tcPr>
          <w:p w14:paraId="00E889D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再现性相对标准差</w:t>
            </w: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vertAlign w:val="subscript"/>
              </w:rPr>
              <w:t>jR</w:t>
            </w:r>
            <w:r>
              <w:rPr>
                <w:rFonts w:hint="default" w:ascii="Times New Roman" w:hAnsi="Times New Roman" w:eastAsia="宋体" w:cs="Times New Roman"/>
                <w:b/>
                <w:bCs/>
                <w:kern w:val="0"/>
                <w:sz w:val="18"/>
                <w:szCs w:val="18"/>
              </w:rPr>
              <w:t>（%）</w:t>
            </w:r>
          </w:p>
        </w:tc>
        <w:tc>
          <w:tcPr>
            <w:tcW w:w="1217" w:type="dxa"/>
            <w:shd w:val="clear" w:color="auto" w:fill="auto"/>
            <w:vAlign w:val="center"/>
          </w:tcPr>
          <w:p w14:paraId="3421B549">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9.305 </w:t>
            </w:r>
          </w:p>
        </w:tc>
        <w:tc>
          <w:tcPr>
            <w:tcW w:w="1217" w:type="dxa"/>
            <w:shd w:val="clear" w:color="auto" w:fill="auto"/>
            <w:vAlign w:val="center"/>
          </w:tcPr>
          <w:p w14:paraId="464C7B3A">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9.727 </w:t>
            </w:r>
          </w:p>
        </w:tc>
        <w:tc>
          <w:tcPr>
            <w:tcW w:w="1217" w:type="dxa"/>
            <w:shd w:val="clear" w:color="auto" w:fill="auto"/>
            <w:vAlign w:val="center"/>
          </w:tcPr>
          <w:p w14:paraId="1B229C31">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9.502 </w:t>
            </w:r>
          </w:p>
        </w:tc>
        <w:tc>
          <w:tcPr>
            <w:tcW w:w="1217" w:type="dxa"/>
            <w:shd w:val="clear" w:color="auto" w:fill="auto"/>
            <w:vAlign w:val="center"/>
          </w:tcPr>
          <w:p w14:paraId="47333A34">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8.955 </w:t>
            </w:r>
          </w:p>
        </w:tc>
        <w:tc>
          <w:tcPr>
            <w:tcW w:w="1219" w:type="dxa"/>
            <w:shd w:val="clear" w:color="auto" w:fill="auto"/>
            <w:vAlign w:val="center"/>
          </w:tcPr>
          <w:p w14:paraId="63A371F7">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7.689 </w:t>
            </w:r>
          </w:p>
        </w:tc>
      </w:tr>
    </w:tbl>
    <w:p w14:paraId="7ABA2561">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lang w:val="en-US" w:eastAsia="zh-CN"/>
        </w:rPr>
      </w:pPr>
      <w:r>
        <w:rPr>
          <w:rFonts w:hint="eastAsia" w:ascii="Times New Roman" w:hAnsi="Times New Roman" w:eastAsia="黑体" w:cs="Calibri"/>
          <w:b w:val="0"/>
          <w:bCs/>
          <w:kern w:val="2"/>
          <w:sz w:val="21"/>
          <w:szCs w:val="28"/>
          <w:lang w:val="en-US" w:eastAsia="zh-CN" w:bidi="ar-SA"/>
        </w:rPr>
        <w:t>2.3.1.2.4 各含量样品检测的精密度分析结果</w:t>
      </w:r>
    </w:p>
    <w:p w14:paraId="65348E94">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5个含量样品的重复性相对标准差</w:t>
      </w:r>
      <w:r>
        <w:rPr>
          <w:rFonts w:hint="default" w:ascii="Times New Roman" w:hAnsi="Times New Roman" w:eastAsia="宋体" w:cs="Times New Roman"/>
          <w:i/>
          <w:iCs/>
          <w:sz w:val="21"/>
          <w:szCs w:val="21"/>
        </w:rPr>
        <w:t>RSD</w:t>
      </w:r>
      <w:r>
        <w:rPr>
          <w:rFonts w:hint="default" w:ascii="Times New Roman" w:hAnsi="Times New Roman" w:eastAsia="宋体" w:cs="Times New Roman"/>
          <w:sz w:val="21"/>
          <w:szCs w:val="21"/>
          <w:vertAlign w:val="subscript"/>
        </w:rPr>
        <w:t>jr</w:t>
      </w:r>
      <w:r>
        <w:rPr>
          <w:rFonts w:hint="default" w:ascii="Times New Roman" w:hAnsi="Times New Roman" w:eastAsia="宋体" w:cs="Times New Roman"/>
          <w:sz w:val="21"/>
          <w:szCs w:val="21"/>
        </w:rPr>
        <w:t>在</w:t>
      </w:r>
      <w:r>
        <w:rPr>
          <w:rFonts w:hint="eastAsia" w:cs="Times New Roman"/>
          <w:i w:val="0"/>
          <w:iCs w:val="0"/>
          <w:color w:val="auto"/>
          <w:kern w:val="0"/>
          <w:sz w:val="21"/>
          <w:szCs w:val="21"/>
          <w:u w:val="none"/>
          <w:lang w:val="en-US" w:eastAsia="zh-CN" w:bidi="ar"/>
        </w:rPr>
        <w:t>2.544</w:t>
      </w:r>
      <w:r>
        <w:rPr>
          <w:rFonts w:hint="default" w:ascii="Times New Roman" w:hAnsi="Times New Roman" w:eastAsia="宋体" w:cs="Times New Roman"/>
          <w:sz w:val="21"/>
          <w:szCs w:val="21"/>
        </w:rPr>
        <w:t>%～</w:t>
      </w:r>
      <w:r>
        <w:rPr>
          <w:rFonts w:hint="eastAsia" w:cs="Times New Roman"/>
          <w:i w:val="0"/>
          <w:iCs w:val="0"/>
          <w:color w:val="auto"/>
          <w:kern w:val="0"/>
          <w:sz w:val="21"/>
          <w:szCs w:val="21"/>
          <w:u w:val="none"/>
          <w:lang w:val="en-US" w:eastAsia="zh-CN" w:bidi="ar"/>
        </w:rPr>
        <w:t>6.417</w:t>
      </w:r>
      <w:r>
        <w:rPr>
          <w:rFonts w:hint="default" w:ascii="Times New Roman" w:hAnsi="Times New Roman" w:eastAsia="宋体" w:cs="Times New Roman"/>
          <w:sz w:val="21"/>
          <w:szCs w:val="21"/>
        </w:rPr>
        <w:t>%之间，均小于规定的25%，再现性相对标准差</w:t>
      </w:r>
      <w:r>
        <w:rPr>
          <w:rFonts w:hint="default" w:ascii="Times New Roman" w:hAnsi="Times New Roman" w:eastAsia="宋体" w:cs="Times New Roman"/>
          <w:i/>
          <w:iCs/>
          <w:sz w:val="21"/>
          <w:szCs w:val="21"/>
        </w:rPr>
        <w:t>RSD</w:t>
      </w:r>
      <w:r>
        <w:rPr>
          <w:rFonts w:hint="default" w:ascii="Times New Roman" w:hAnsi="Times New Roman" w:eastAsia="宋体" w:cs="Times New Roman"/>
          <w:i/>
          <w:iCs/>
          <w:sz w:val="21"/>
          <w:szCs w:val="21"/>
          <w:vertAlign w:val="subscript"/>
        </w:rPr>
        <w:t>jR</w:t>
      </w:r>
      <w:r>
        <w:rPr>
          <w:rFonts w:hint="default" w:ascii="Times New Roman" w:hAnsi="Times New Roman" w:eastAsia="宋体" w:cs="Times New Roman"/>
          <w:sz w:val="21"/>
          <w:szCs w:val="21"/>
        </w:rPr>
        <w:t>在</w:t>
      </w:r>
      <w:r>
        <w:rPr>
          <w:rFonts w:hint="eastAsia" w:cs="Times New Roman"/>
          <w:i w:val="0"/>
          <w:iCs w:val="0"/>
          <w:color w:val="auto"/>
          <w:kern w:val="0"/>
          <w:sz w:val="21"/>
          <w:szCs w:val="21"/>
          <w:u w:val="none"/>
          <w:lang w:val="en-US" w:eastAsia="zh-CN" w:bidi="ar"/>
        </w:rPr>
        <w:t>7.689</w:t>
      </w:r>
      <w:r>
        <w:rPr>
          <w:rFonts w:hint="default" w:ascii="Times New Roman" w:hAnsi="Times New Roman" w:eastAsia="宋体" w:cs="Times New Roman"/>
          <w:sz w:val="21"/>
          <w:szCs w:val="21"/>
        </w:rPr>
        <w:t>%～</w:t>
      </w:r>
      <w:r>
        <w:rPr>
          <w:rFonts w:hint="eastAsia" w:cs="Times New Roman"/>
          <w:i w:val="0"/>
          <w:iCs w:val="0"/>
          <w:color w:val="auto"/>
          <w:kern w:val="0"/>
          <w:sz w:val="21"/>
          <w:szCs w:val="21"/>
          <w:u w:val="none"/>
          <w:lang w:val="en-US" w:eastAsia="zh-CN" w:bidi="ar"/>
        </w:rPr>
        <w:t>9.727</w:t>
      </w:r>
      <w:r>
        <w:rPr>
          <w:rFonts w:hint="default" w:cs="Times New Roman"/>
          <w:i w:val="0"/>
          <w:iCs w:val="0"/>
          <w:color w:val="auto"/>
          <w:kern w:val="0"/>
          <w:sz w:val="21"/>
          <w:szCs w:val="21"/>
          <w:u w:val="none"/>
          <w:lang w:val="en-US" w:eastAsia="zh-CN" w:bidi="ar"/>
        </w:rPr>
        <w:t>%之</w:t>
      </w:r>
      <w:r>
        <w:rPr>
          <w:rFonts w:hint="default" w:ascii="Times New Roman" w:hAnsi="Times New Roman" w:eastAsia="宋体" w:cs="Times New Roman"/>
          <w:sz w:val="21"/>
          <w:szCs w:val="21"/>
        </w:rPr>
        <w:t>间，均小于规定的35%。重复性和再现性分析结果表明</w:t>
      </w:r>
      <w:r>
        <w:rPr>
          <w:rFonts w:hint="eastAsia" w:cs="Times New Roman"/>
          <w:sz w:val="21"/>
          <w:szCs w:val="21"/>
          <w:lang w:eastAsia="zh-CN"/>
        </w:rPr>
        <w:t>QY2569-42</w:t>
      </w:r>
      <w:r>
        <w:rPr>
          <w:rFonts w:hint="default" w:ascii="Times New Roman" w:hAnsi="Times New Roman" w:eastAsia="宋体" w:cs="Times New Roman"/>
          <w:sz w:val="21"/>
          <w:szCs w:val="21"/>
        </w:rPr>
        <w:t>转化体荧光定量PCR方法测量结果具有良好的精密度。</w:t>
      </w:r>
    </w:p>
    <w:p w14:paraId="6772A614">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highlight w:val="none"/>
          <w:lang w:val="en-US" w:eastAsia="zh-CN" w:bidi="ar-SA"/>
        </w:rPr>
      </w:pPr>
      <w:r>
        <w:rPr>
          <w:rFonts w:hint="eastAsia" w:ascii="Times New Roman" w:hAnsi="Times New Roman" w:eastAsia="黑体" w:cs="Calibri"/>
          <w:b w:val="0"/>
          <w:bCs/>
          <w:kern w:val="2"/>
          <w:sz w:val="21"/>
          <w:szCs w:val="28"/>
          <w:highlight w:val="none"/>
          <w:lang w:val="en-US" w:eastAsia="zh-CN" w:bidi="ar-SA"/>
        </w:rPr>
        <w:t>2.3.2 正确度分析方法和结果</w:t>
      </w:r>
    </w:p>
    <w:p w14:paraId="27C7C842">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eastAsia" w:ascii="Times New Roman" w:hAnsi="Times New Roman" w:eastAsia="黑体" w:cs="Calibri"/>
          <w:b w:val="0"/>
          <w:bCs/>
          <w:kern w:val="2"/>
          <w:sz w:val="21"/>
          <w:szCs w:val="28"/>
          <w:highlight w:val="none"/>
          <w:lang w:val="en-US" w:eastAsia="zh-CN" w:bidi="ar-SA"/>
        </w:rPr>
      </w:pPr>
      <w:r>
        <w:rPr>
          <w:rFonts w:hint="eastAsia" w:ascii="Times New Roman" w:hAnsi="Times New Roman" w:eastAsia="黑体" w:cs="Calibri"/>
          <w:b w:val="0"/>
          <w:bCs/>
          <w:kern w:val="2"/>
          <w:sz w:val="21"/>
          <w:szCs w:val="28"/>
          <w:highlight w:val="none"/>
          <w:lang w:val="en-US" w:eastAsia="zh-CN" w:bidi="ar-SA"/>
        </w:rPr>
        <w:t>2.3.2.1 正确度分析方法</w:t>
      </w:r>
    </w:p>
    <w:p w14:paraId="32A1A3DB">
      <w:pPr>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计算实验室测量总平均值与标准值的偏倚</w:t>
      </w:r>
      <w:r>
        <w:rPr>
          <w:rFonts w:hint="eastAsia" w:cs="Times New Roman"/>
          <w:i/>
          <w:iCs/>
          <w:sz w:val="21"/>
          <w:szCs w:val="21"/>
          <w:lang w:eastAsia="zh-CN"/>
        </w:rPr>
        <w:t>bias</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rPr>
        <w:t>和相对偏倚</w:t>
      </w:r>
      <w:r>
        <w:rPr>
          <w:rFonts w:hint="eastAsia" w:cs="Times New Roman"/>
          <w:i/>
          <w:iCs/>
          <w:sz w:val="21"/>
          <w:szCs w:val="21"/>
          <w:lang w:eastAsia="zh-CN"/>
        </w:rPr>
        <w:t>bias</w:t>
      </w:r>
      <w:r>
        <w:rPr>
          <w:rFonts w:hint="default" w:ascii="Times New Roman" w:hAnsi="Times New Roman" w:eastAsia="宋体" w:cs="Times New Roman"/>
          <w:i/>
          <w:iCs/>
          <w:sz w:val="21"/>
          <w:szCs w:val="21"/>
        </w:rPr>
        <w:t>R</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rPr>
        <w:t>，判定验证检测结果的正确度。即：</w:t>
      </w:r>
    </w:p>
    <w:p w14:paraId="1A29BA05">
      <w:pPr>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914400" cy="298450"/>
            <wp:effectExtent l="0" t="0" r="0" b="5080"/>
            <wp:docPr id="21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94"/>
                    <pic:cNvPicPr>
                      <a:picLocks noChangeAspect="1"/>
                    </pic:cNvPicPr>
                  </pic:nvPicPr>
                  <pic:blipFill>
                    <a:blip r:embed="rId233">
                      <a:clrChange>
                        <a:clrFrom>
                          <a:srgbClr val="FFFFFF"/>
                        </a:clrFrom>
                        <a:clrTo>
                          <a:srgbClr val="FFFFFF">
                            <a:alpha val="0"/>
                          </a:srgbClr>
                        </a:clrTo>
                      </a:clrChange>
                      <a:lum/>
                    </a:blip>
                    <a:stretch>
                      <a:fillRect/>
                    </a:stretch>
                  </pic:blipFill>
                  <pic:spPr>
                    <a:xfrm>
                      <a:off x="0" y="0"/>
                      <a:ext cx="914400" cy="298450"/>
                    </a:xfrm>
                    <a:prstGeom prst="rect">
                      <a:avLst/>
                    </a:prstGeom>
                    <a:noFill/>
                    <a:ln>
                      <a:noFill/>
                    </a:ln>
                  </pic:spPr>
                </pic:pic>
              </a:graphicData>
            </a:graphic>
          </wp:inline>
        </w:drawing>
      </w:r>
    </w:p>
    <w:p w14:paraId="2F882A61">
      <w:pPr>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351280" cy="360680"/>
            <wp:effectExtent l="0" t="0" r="1270" b="1270"/>
            <wp:docPr id="21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95"/>
                    <pic:cNvPicPr>
                      <a:picLocks noChangeAspect="1"/>
                    </pic:cNvPicPr>
                  </pic:nvPicPr>
                  <pic:blipFill>
                    <a:blip r:embed="rId234">
                      <a:clrChange>
                        <a:clrFrom>
                          <a:srgbClr val="FFFFFF"/>
                        </a:clrFrom>
                        <a:clrTo>
                          <a:srgbClr val="FFFFFF">
                            <a:alpha val="0"/>
                          </a:srgbClr>
                        </a:clrTo>
                      </a:clrChange>
                      <a:lum/>
                    </a:blip>
                    <a:stretch>
                      <a:fillRect/>
                    </a:stretch>
                  </pic:blipFill>
                  <pic:spPr>
                    <a:xfrm>
                      <a:off x="0" y="0"/>
                      <a:ext cx="1351280" cy="360680"/>
                    </a:xfrm>
                    <a:prstGeom prst="rect">
                      <a:avLst/>
                    </a:prstGeom>
                    <a:noFill/>
                    <a:ln>
                      <a:noFill/>
                    </a:ln>
                  </pic:spPr>
                </pic:pic>
              </a:graphicData>
            </a:graphic>
          </wp:inline>
        </w:drawing>
      </w:r>
    </w:p>
    <w:p w14:paraId="5D4BB130">
      <w:pPr>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w:t>
      </w:r>
    </w:p>
    <w:p w14:paraId="184DB3E7">
      <w:pPr>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eastAsia" w:cs="Times New Roman"/>
          <w:i/>
          <w:iCs/>
          <w:sz w:val="21"/>
          <w:szCs w:val="21"/>
          <w:lang w:eastAsia="zh-CN"/>
        </w:rPr>
        <w:t>bias</w:t>
      </w:r>
      <w:r>
        <w:rPr>
          <w:rFonts w:hint="default" w:ascii="Times New Roman" w:hAnsi="Times New Roman" w:eastAsia="宋体" w:cs="Times New Roman"/>
          <w:i/>
          <w:iCs/>
          <w:sz w:val="21"/>
          <w:szCs w:val="21"/>
          <w:vertAlign w:val="subscript"/>
        </w:rPr>
        <w:t>j</w:t>
      </w:r>
      <w:r>
        <w:rPr>
          <w:rFonts w:hint="eastAsia" w:ascii="Times New Roman" w:hAnsi="Times New Roman" w:cs="Times New Roman"/>
          <w:i/>
          <w:iCs/>
          <w:sz w:val="21"/>
          <w:szCs w:val="21"/>
          <w:vertAlign w:val="subscript"/>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j</w:t>
      </w:r>
      <w:r>
        <w:rPr>
          <w:rFonts w:hint="default" w:ascii="Times New Roman" w:hAnsi="Times New Roman" w:eastAsia="宋体" w:cs="Times New Roman"/>
          <w:sz w:val="21"/>
          <w:szCs w:val="21"/>
        </w:rPr>
        <w:t>含量样品测量平均值的偏倚；</w:t>
      </w:r>
    </w:p>
    <w:p w14:paraId="76BB5EDD">
      <w:pPr>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eastAsia" w:cs="Times New Roman"/>
          <w:i/>
          <w:iCs/>
          <w:sz w:val="21"/>
          <w:szCs w:val="21"/>
          <w:lang w:eastAsia="zh-CN"/>
        </w:rPr>
        <w:t>bias</w:t>
      </w:r>
      <w:r>
        <w:rPr>
          <w:rFonts w:hint="default" w:ascii="Times New Roman" w:hAnsi="Times New Roman" w:eastAsia="宋体" w:cs="Times New Roman"/>
          <w:i/>
          <w:iCs/>
          <w:sz w:val="21"/>
          <w:szCs w:val="21"/>
        </w:rPr>
        <w:t>R</w:t>
      </w:r>
      <w:r>
        <w:rPr>
          <w:rFonts w:hint="default" w:ascii="Times New Roman" w:hAnsi="Times New Roman" w:eastAsia="宋体" w:cs="Times New Roman"/>
          <w:sz w:val="21"/>
          <w:szCs w:val="21"/>
          <w:vertAlign w:val="subscript"/>
        </w:rPr>
        <w:t>j</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370840" cy="293370"/>
            <wp:effectExtent l="0" t="0" r="10160" b="13335"/>
            <wp:docPr id="21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96"/>
                    <pic:cNvPicPr>
                      <a:picLocks noChangeAspect="1"/>
                    </pic:cNvPicPr>
                  </pic:nvPicPr>
                  <pic:blipFill>
                    <a:blip r:embed="rId235">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j</w:t>
      </w:r>
      <w:r>
        <w:rPr>
          <w:rFonts w:hint="default" w:ascii="Times New Roman" w:hAnsi="Times New Roman" w:eastAsia="宋体" w:cs="Times New Roman"/>
          <w:sz w:val="21"/>
          <w:szCs w:val="21"/>
        </w:rPr>
        <w:t>含量样品测量平均值的相对偏倚；</w:t>
      </w:r>
    </w:p>
    <w:p w14:paraId="299779A0">
      <w:pPr>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7"/>
          <w:sz w:val="21"/>
          <w:szCs w:val="21"/>
        </w:rPr>
        <w:drawing>
          <wp:inline distT="0" distB="0" distL="114300" distR="114300">
            <wp:extent cx="96520" cy="293370"/>
            <wp:effectExtent l="0" t="0" r="17780" b="13335"/>
            <wp:docPr id="21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97"/>
                    <pic:cNvPicPr>
                      <a:picLocks noChangeAspect="1"/>
                    </pic:cNvPicPr>
                  </pic:nvPicPr>
                  <pic:blipFill>
                    <a:blip r:embed="rId236">
                      <a:clrChange>
                        <a:clrFrom>
                          <a:srgbClr val="FFFFFF"/>
                        </a:clrFrom>
                        <a:clrTo>
                          <a:srgbClr val="FFFFFF">
                            <a:alpha val="0"/>
                          </a:srgbClr>
                        </a:clrTo>
                      </a:clrChange>
                      <a:lum/>
                    </a:blip>
                    <a:stretch>
                      <a:fillRect/>
                    </a:stretch>
                  </pic:blipFill>
                  <pic:spPr>
                    <a:xfrm>
                      <a:off x="0" y="0"/>
                      <a:ext cx="9652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position w:val="-14"/>
          <w:sz w:val="21"/>
          <w:szCs w:val="21"/>
        </w:rPr>
        <w:object>
          <v:shape id="_x0000_i1093" o:spt="75" type="#_x0000_t75" style="height:22.1pt;width:12.85pt;" o:ole="t" filled="f" o:preferrelative="t" stroked="f" coordsize="21600,21600">
            <v:path/>
            <v:fill on="f" focussize="0,0"/>
            <v:stroke on="f" joinstyle="miter"/>
            <v:imagedata r:id="rId238" o:title=""/>
            <o:lock v:ext="edit" aspectratio="t"/>
            <w10:wrap type="none"/>
            <w10:anchorlock/>
          </v:shape>
          <o:OLEObject Type="Embed" ProgID="Equation.3" ShapeID="_x0000_i1093" DrawAspect="Content" ObjectID="_1468075793" r:id="rId237">
            <o:LockedField>false</o:LockedField>
          </o:OLEObject>
        </w:object>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j</w:t>
      </w:r>
      <w:r>
        <w:rPr>
          <w:rFonts w:hint="default" w:ascii="Times New Roman" w:hAnsi="Times New Roman" w:eastAsia="宋体" w:cs="Times New Roman"/>
          <w:sz w:val="21"/>
          <w:szCs w:val="21"/>
        </w:rPr>
        <w:t>含量样品的测量总平均值；</w:t>
      </w:r>
    </w:p>
    <w:p w14:paraId="0D633752">
      <w:pPr>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position w:val="-14"/>
          <w:sz w:val="21"/>
          <w:szCs w:val="21"/>
        </w:rPr>
        <w:fldChar w:fldCharType="begin"/>
      </w:r>
      <w:r>
        <w:rPr>
          <w:rFonts w:hint="default" w:ascii="Times New Roman" w:hAnsi="Times New Roman" w:eastAsia="宋体" w:cs="Times New Roman"/>
          <w:position w:val="-14"/>
          <w:sz w:val="21"/>
          <w:szCs w:val="21"/>
        </w:rPr>
        <w:instrText xml:space="preserve"> QUOTE </w:instrText>
      </w:r>
      <w:r>
        <w:rPr>
          <w:rFonts w:hint="default" w:ascii="Times New Roman" w:hAnsi="Times New Roman" w:eastAsia="宋体" w:cs="Times New Roman"/>
          <w:position w:val="-14"/>
          <w:sz w:val="21"/>
          <w:szCs w:val="21"/>
        </w:rPr>
        <w:drawing>
          <wp:inline distT="0" distB="0" distL="114300" distR="114300">
            <wp:extent cx="197485" cy="298450"/>
            <wp:effectExtent l="0" t="0" r="12065" b="0"/>
            <wp:docPr id="21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99"/>
                    <pic:cNvPicPr>
                      <a:picLocks noChangeAspect="1"/>
                    </pic:cNvPicPr>
                  </pic:nvPicPr>
                  <pic:blipFill>
                    <a:blip r:embed="rId239">
                      <a:clrChange>
                        <a:clrFrom>
                          <a:srgbClr val="FFFFFF"/>
                        </a:clrFrom>
                        <a:clrTo>
                          <a:srgbClr val="FFFFFF">
                            <a:alpha val="0"/>
                          </a:srgbClr>
                        </a:clrTo>
                      </a:clrChange>
                      <a:lum/>
                    </a:blip>
                    <a:stretch>
                      <a:fillRect/>
                    </a:stretch>
                  </pic:blipFill>
                  <pic:spPr>
                    <a:xfrm>
                      <a:off x="0" y="0"/>
                      <a:ext cx="197485" cy="298450"/>
                    </a:xfrm>
                    <a:prstGeom prst="rect">
                      <a:avLst/>
                    </a:prstGeom>
                    <a:noFill/>
                    <a:ln>
                      <a:noFill/>
                    </a:ln>
                  </pic:spPr>
                </pic:pic>
              </a:graphicData>
            </a:graphic>
          </wp:inline>
        </w:drawing>
      </w:r>
      <w:r>
        <w:rPr>
          <w:rFonts w:hint="default" w:ascii="Times New Roman" w:hAnsi="Times New Roman" w:eastAsia="宋体" w:cs="Times New Roman"/>
          <w:position w:val="-14"/>
          <w:sz w:val="21"/>
          <w:szCs w:val="21"/>
        </w:rPr>
        <w:fldChar w:fldCharType="separate"/>
      </w:r>
      <w:r>
        <w:rPr>
          <w:rFonts w:hint="default" w:ascii="Times New Roman" w:hAnsi="Times New Roman" w:eastAsia="宋体" w:cs="Times New Roman"/>
          <w:position w:val="-14"/>
          <w:sz w:val="21"/>
          <w:szCs w:val="21"/>
        </w:rPr>
        <w:drawing>
          <wp:inline distT="0" distB="0" distL="114300" distR="114300">
            <wp:extent cx="197485" cy="298450"/>
            <wp:effectExtent l="0" t="0" r="12065" b="0"/>
            <wp:docPr id="216"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0"/>
                    <pic:cNvPicPr>
                      <a:picLocks noChangeAspect="1"/>
                    </pic:cNvPicPr>
                  </pic:nvPicPr>
                  <pic:blipFill>
                    <a:blip r:embed="rId239">
                      <a:clrChange>
                        <a:clrFrom>
                          <a:srgbClr val="FFFFFF"/>
                        </a:clrFrom>
                        <a:clrTo>
                          <a:srgbClr val="FFFFFF">
                            <a:alpha val="0"/>
                          </a:srgbClr>
                        </a:clrTo>
                      </a:clrChange>
                      <a:lum/>
                    </a:blip>
                    <a:stretch>
                      <a:fillRect/>
                    </a:stretch>
                  </pic:blipFill>
                  <pic:spPr>
                    <a:xfrm>
                      <a:off x="0" y="0"/>
                      <a:ext cx="197485" cy="298450"/>
                    </a:xfrm>
                    <a:prstGeom prst="rect">
                      <a:avLst/>
                    </a:prstGeom>
                    <a:noFill/>
                    <a:ln>
                      <a:noFill/>
                    </a:ln>
                  </pic:spPr>
                </pic:pic>
              </a:graphicData>
            </a:graphic>
          </wp:inline>
        </w:drawing>
      </w:r>
      <w:r>
        <w:rPr>
          <w:rFonts w:hint="default" w:ascii="Times New Roman" w:hAnsi="Times New Roman" w:eastAsia="宋体" w:cs="Times New Roman"/>
          <w:position w:val="-14"/>
          <w:sz w:val="21"/>
          <w:szCs w:val="21"/>
        </w:rPr>
        <w:fldChar w:fldCharType="end"/>
      </w:r>
      <w:r>
        <w:rPr>
          <w:rFonts w:hint="eastAsia" w:ascii="Times New Roman" w:hAnsi="Times New Roman" w:cs="Times New Roman"/>
          <w:position w:val="-14"/>
          <w:sz w:val="21"/>
          <w:szCs w:val="21"/>
          <w:lang w:val="en-US" w:eastAsia="zh-CN"/>
        </w:rPr>
        <w:t xml:space="preserve">  </w:t>
      </w:r>
      <w:r>
        <w:rPr>
          <w:rFonts w:hint="default" w:ascii="Times New Roman" w:hAnsi="Times New Roman" w:eastAsia="宋体" w:cs="Times New Roman"/>
          <w:bCs/>
          <w:sz w:val="21"/>
          <w:szCs w:val="21"/>
        </w:rPr>
        <w:t>—</w:t>
      </w:r>
      <w:r>
        <w:rPr>
          <w:rFonts w:hint="default" w:ascii="Times New Roman" w:hAnsi="Times New Roman" w:eastAsia="宋体" w:cs="Times New Roman"/>
          <w:i/>
          <w:sz w:val="21"/>
          <w:szCs w:val="21"/>
        </w:rPr>
        <w:t>j</w:t>
      </w:r>
      <w:r>
        <w:rPr>
          <w:rFonts w:hint="default" w:ascii="Times New Roman" w:hAnsi="Times New Roman" w:eastAsia="宋体" w:cs="Times New Roman"/>
          <w:sz w:val="21"/>
          <w:szCs w:val="21"/>
        </w:rPr>
        <w:t>含量样品</w:t>
      </w:r>
      <w:r>
        <w:rPr>
          <w:rFonts w:hint="default" w:ascii="Times New Roman" w:hAnsi="Times New Roman" w:eastAsia="宋体" w:cs="Times New Roman"/>
          <w:bCs/>
          <w:sz w:val="21"/>
          <w:szCs w:val="21"/>
        </w:rPr>
        <w:t>标准值。</w:t>
      </w:r>
    </w:p>
    <w:p w14:paraId="274DE8E5">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highlight w:val="none"/>
          <w:lang w:val="en-US" w:eastAsia="zh-CN" w:bidi="ar-SA"/>
        </w:rPr>
      </w:pPr>
      <w:r>
        <w:rPr>
          <w:rFonts w:hint="default" w:ascii="Times New Roman" w:hAnsi="Times New Roman" w:eastAsia="黑体" w:cs="Calibri"/>
          <w:b w:val="0"/>
          <w:bCs/>
          <w:kern w:val="2"/>
          <w:sz w:val="21"/>
          <w:szCs w:val="28"/>
          <w:highlight w:val="none"/>
          <w:lang w:val="en-US" w:eastAsia="zh-CN" w:bidi="ar-SA"/>
        </w:rPr>
        <w:t>2.3.2.2 正确度分析结果</w:t>
      </w:r>
    </w:p>
    <w:p w14:paraId="3C6F03E7">
      <w:pPr>
        <w:pStyle w:val="8"/>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sz w:val="21"/>
          <w:szCs w:val="21"/>
        </w:rPr>
        <w:t>计算样品各水平下，8个实验室测量总平均值与标称值的偏倚</w:t>
      </w:r>
      <w:r>
        <w:rPr>
          <w:rFonts w:hint="default" w:ascii="Times New Roman" w:hAnsi="Times New Roman" w:eastAsia="宋体" w:cs="Times New Roman"/>
          <w:position w:val="-8"/>
          <w:sz w:val="21"/>
          <w:szCs w:val="21"/>
        </w:rPr>
        <w:drawing>
          <wp:inline distT="0" distB="0" distL="114300" distR="114300">
            <wp:extent cx="332105" cy="235585"/>
            <wp:effectExtent l="0" t="0" r="10795" b="13970"/>
            <wp:docPr id="217"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1"/>
                    <pic:cNvPicPr>
                      <a:picLocks noChangeAspect="1"/>
                    </pic:cNvPicPr>
                  </pic:nvPicPr>
                  <pic:blipFill>
                    <a:blip r:embed="rId240">
                      <a:lum/>
                    </a:blip>
                    <a:stretch>
                      <a:fillRect/>
                    </a:stretch>
                  </pic:blipFill>
                  <pic:spPr>
                    <a:xfrm>
                      <a:off x="0" y="0"/>
                      <a:ext cx="332105" cy="235585"/>
                    </a:xfrm>
                    <a:prstGeom prst="rect">
                      <a:avLst/>
                    </a:prstGeom>
                    <a:noFill/>
                    <a:ln>
                      <a:noFill/>
                    </a:ln>
                  </pic:spPr>
                </pic:pic>
              </a:graphicData>
            </a:graphic>
          </wp:inline>
        </w:drawing>
      </w:r>
      <w:r>
        <w:rPr>
          <w:rFonts w:hint="default" w:ascii="Times New Roman" w:hAnsi="Times New Roman" w:eastAsia="宋体" w:cs="Times New Roman"/>
          <w:sz w:val="21"/>
          <w:szCs w:val="21"/>
        </w:rPr>
        <w:t>和相对偏倚</w:t>
      </w:r>
      <w:r>
        <w:rPr>
          <w:rFonts w:hint="default" w:ascii="Times New Roman" w:hAnsi="Times New Roman" w:eastAsia="宋体" w:cs="Times New Roman"/>
          <w:position w:val="-8"/>
          <w:sz w:val="21"/>
          <w:szCs w:val="21"/>
        </w:rPr>
        <w:drawing>
          <wp:inline distT="0" distB="0" distL="114300" distR="114300">
            <wp:extent cx="428625" cy="235585"/>
            <wp:effectExtent l="0" t="0" r="0" b="13970"/>
            <wp:docPr id="21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02"/>
                    <pic:cNvPicPr>
                      <a:picLocks noChangeAspect="1"/>
                    </pic:cNvPicPr>
                  </pic:nvPicPr>
                  <pic:blipFill>
                    <a:blip r:embed="rId241">
                      <a:lum/>
                    </a:blip>
                    <a:stretch>
                      <a:fillRect/>
                    </a:stretch>
                  </pic:blipFill>
                  <pic:spPr>
                    <a:xfrm>
                      <a:off x="0" y="0"/>
                      <a:ext cx="428625" cy="235585"/>
                    </a:xfrm>
                    <a:prstGeom prst="rect">
                      <a:avLst/>
                    </a:prstGeom>
                    <a:noFill/>
                    <a:ln>
                      <a:noFill/>
                    </a:ln>
                  </pic:spPr>
                </pic:pic>
              </a:graphicData>
            </a:graphic>
          </wp:inline>
        </w:drawing>
      </w:r>
      <w:r>
        <w:rPr>
          <w:rFonts w:hint="default" w:ascii="Times New Roman" w:hAnsi="Times New Roman" w:eastAsia="宋体" w:cs="Times New Roman"/>
          <w:sz w:val="21"/>
          <w:szCs w:val="21"/>
        </w:rPr>
        <w:t>，汇总结果见</w:t>
      </w:r>
      <w:r>
        <w:rPr>
          <w:rFonts w:hint="eastAsia" w:ascii="Times New Roman" w:hAnsi="Times New Roman" w:eastAsia="宋体" w:cs="Times New Roman"/>
          <w:sz w:val="21"/>
          <w:szCs w:val="21"/>
          <w:lang w:eastAsia="zh-CN"/>
        </w:rPr>
        <w:t>表</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12：</w:t>
      </w:r>
    </w:p>
    <w:p w14:paraId="3333207F">
      <w:pPr>
        <w:pStyle w:val="8"/>
        <w:keepNext/>
        <w:bidi w:val="0"/>
        <w:spacing w:line="240" w:lineRule="auto"/>
        <w:ind w:firstLine="0" w:firstLineChars="0"/>
        <w:jc w:val="center"/>
        <w:rPr>
          <w:rFonts w:hint="default" w:ascii="Times New Roman" w:hAnsi="Times New Roman" w:eastAsia="黑体" w:cs="Calibri"/>
          <w:sz w:val="18"/>
          <w:szCs w:val="22"/>
          <w:highlight w:val="none"/>
          <w:lang w:val="en-US" w:eastAsia="zh-CN"/>
        </w:rPr>
      </w:pPr>
      <w:r>
        <w:rPr>
          <w:rFonts w:hint="eastAsia" w:ascii="Times New Roman" w:hAnsi="Times New Roman" w:eastAsia="黑体" w:cs="Calibri"/>
          <w:sz w:val="18"/>
          <w:szCs w:val="22"/>
          <w:highlight w:val="none"/>
          <w:lang w:val="en-US" w:eastAsia="zh-CN"/>
        </w:rPr>
        <w:t>表3-</w:t>
      </w:r>
      <w:r>
        <w:rPr>
          <w:rFonts w:hint="default" w:ascii="Times New Roman" w:hAnsi="Times New Roman" w:eastAsia="黑体" w:cs="Calibri"/>
          <w:sz w:val="18"/>
          <w:szCs w:val="22"/>
          <w:highlight w:val="none"/>
          <w:lang w:val="en-US" w:eastAsia="zh-CN"/>
        </w:rPr>
        <w:t>12 5个含量样品测量总平均值的偏倚分析</w:t>
      </w:r>
    </w:p>
    <w:tbl>
      <w:tblPr>
        <w:tblStyle w:val="16"/>
        <w:tblW w:w="7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059"/>
        <w:gridCol w:w="1059"/>
        <w:gridCol w:w="1059"/>
        <w:gridCol w:w="1059"/>
        <w:gridCol w:w="1072"/>
      </w:tblGrid>
      <w:tr w14:paraId="752D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1" w:type="dxa"/>
            <w:vMerge w:val="restart"/>
            <w:vAlign w:val="center"/>
          </w:tcPr>
          <w:p w14:paraId="3DA66114">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统计量</w:t>
            </w:r>
          </w:p>
        </w:tc>
        <w:tc>
          <w:tcPr>
            <w:tcW w:w="5308" w:type="dxa"/>
            <w:gridSpan w:val="5"/>
          </w:tcPr>
          <w:p w14:paraId="02C6BDD5">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水平</w:t>
            </w:r>
            <w:r>
              <w:rPr>
                <w:rFonts w:hint="default" w:ascii="Times New Roman" w:hAnsi="Times New Roman" w:eastAsia="宋体" w:cs="Times New Roman"/>
                <w:b/>
                <w:bCs/>
                <w:i/>
                <w:iCs/>
                <w:kern w:val="0"/>
                <w:sz w:val="18"/>
                <w:szCs w:val="18"/>
              </w:rPr>
              <w:t>j</w:t>
            </w:r>
            <w:r>
              <w:rPr>
                <w:rFonts w:hint="default" w:ascii="Times New Roman" w:hAnsi="Times New Roman" w:eastAsia="宋体" w:cs="Times New Roman"/>
                <w:b/>
                <w:bCs/>
                <w:kern w:val="0"/>
                <w:sz w:val="18"/>
                <w:szCs w:val="18"/>
              </w:rPr>
              <w:t>（%）</w:t>
            </w:r>
          </w:p>
        </w:tc>
      </w:tr>
      <w:tr w14:paraId="5AD3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1" w:type="dxa"/>
            <w:vMerge w:val="continue"/>
          </w:tcPr>
          <w:p w14:paraId="5B09D0A3">
            <w:pPr>
              <w:widowControl/>
              <w:jc w:val="center"/>
              <w:rPr>
                <w:rFonts w:hint="default" w:ascii="Times New Roman" w:hAnsi="Times New Roman" w:eastAsia="宋体" w:cs="Times New Roman"/>
                <w:b/>
                <w:bCs/>
                <w:kern w:val="0"/>
                <w:sz w:val="18"/>
                <w:szCs w:val="18"/>
              </w:rPr>
            </w:pPr>
          </w:p>
        </w:tc>
        <w:tc>
          <w:tcPr>
            <w:tcW w:w="1059" w:type="dxa"/>
            <w:vAlign w:val="center"/>
          </w:tcPr>
          <w:p w14:paraId="2AC71DDF">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color w:val="000000"/>
                <w:sz w:val="18"/>
                <w:szCs w:val="18"/>
              </w:rPr>
              <w:t>1</w:t>
            </w:r>
          </w:p>
        </w:tc>
        <w:tc>
          <w:tcPr>
            <w:tcW w:w="1059" w:type="dxa"/>
            <w:vAlign w:val="center"/>
          </w:tcPr>
          <w:p w14:paraId="07705B23">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color w:val="000000"/>
                <w:sz w:val="18"/>
                <w:szCs w:val="18"/>
              </w:rPr>
              <w:t>2</w:t>
            </w:r>
          </w:p>
        </w:tc>
        <w:tc>
          <w:tcPr>
            <w:tcW w:w="1059" w:type="dxa"/>
            <w:vAlign w:val="center"/>
          </w:tcPr>
          <w:p w14:paraId="53B1488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color w:val="000000"/>
                <w:sz w:val="18"/>
                <w:szCs w:val="18"/>
              </w:rPr>
              <w:t>3</w:t>
            </w:r>
          </w:p>
        </w:tc>
        <w:tc>
          <w:tcPr>
            <w:tcW w:w="1059" w:type="dxa"/>
            <w:vAlign w:val="center"/>
          </w:tcPr>
          <w:p w14:paraId="2FB48515">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color w:val="000000"/>
                <w:sz w:val="18"/>
                <w:szCs w:val="18"/>
              </w:rPr>
              <w:t>4</w:t>
            </w:r>
          </w:p>
        </w:tc>
        <w:tc>
          <w:tcPr>
            <w:tcW w:w="1072" w:type="dxa"/>
            <w:vAlign w:val="center"/>
          </w:tcPr>
          <w:p w14:paraId="3196F695">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color w:val="000000"/>
                <w:sz w:val="18"/>
                <w:szCs w:val="18"/>
              </w:rPr>
              <w:t>5</w:t>
            </w:r>
          </w:p>
        </w:tc>
      </w:tr>
      <w:tr w14:paraId="34FC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1" w:type="dxa"/>
          </w:tcPr>
          <w:p w14:paraId="72A7E087">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标称值（%）</w:t>
            </w:r>
          </w:p>
        </w:tc>
        <w:tc>
          <w:tcPr>
            <w:tcW w:w="1059" w:type="dxa"/>
            <w:vAlign w:val="center"/>
          </w:tcPr>
          <w:p w14:paraId="3C1C7106">
            <w:pPr>
              <w:widowControl/>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5.0</w:t>
            </w:r>
          </w:p>
        </w:tc>
        <w:tc>
          <w:tcPr>
            <w:tcW w:w="1059" w:type="dxa"/>
            <w:vAlign w:val="center"/>
          </w:tcPr>
          <w:p w14:paraId="1D2A017E">
            <w:pPr>
              <w:widowControl/>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3.0</w:t>
            </w:r>
          </w:p>
        </w:tc>
        <w:tc>
          <w:tcPr>
            <w:tcW w:w="1059" w:type="dxa"/>
            <w:vAlign w:val="center"/>
          </w:tcPr>
          <w:p w14:paraId="3A6BA5A8">
            <w:pPr>
              <w:widowControl/>
              <w:jc w:val="center"/>
              <w:textAlignment w:val="center"/>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1.0</w:t>
            </w:r>
          </w:p>
        </w:tc>
        <w:tc>
          <w:tcPr>
            <w:tcW w:w="1059" w:type="dxa"/>
            <w:vAlign w:val="center"/>
          </w:tcPr>
          <w:p w14:paraId="260841FB">
            <w:pPr>
              <w:widowControl/>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0.5</w:t>
            </w:r>
          </w:p>
        </w:tc>
        <w:tc>
          <w:tcPr>
            <w:tcW w:w="1072" w:type="dxa"/>
            <w:vAlign w:val="center"/>
          </w:tcPr>
          <w:p w14:paraId="706B5D84">
            <w:pPr>
              <w:widowControl/>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0.1</w:t>
            </w:r>
          </w:p>
        </w:tc>
      </w:tr>
      <w:tr w14:paraId="1BC7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1" w:type="dxa"/>
          </w:tcPr>
          <w:p w14:paraId="3DC26A4E">
            <w:pPr>
              <w:widowControl/>
              <w:jc w:val="center"/>
              <w:rPr>
                <w:rFonts w:hint="default" w:ascii="Times New Roman" w:hAnsi="Times New Roman" w:eastAsia="宋体" w:cs="Times New Roman"/>
                <w:b/>
                <w:bCs/>
                <w:kern w:val="0"/>
                <w:sz w:val="18"/>
                <w:szCs w:val="18"/>
              </w:rPr>
            </w:pPr>
            <w:bookmarkStart w:id="31" w:name="_Hlk136886535"/>
            <w:r>
              <w:rPr>
                <w:rFonts w:hint="default" w:ascii="Times New Roman" w:hAnsi="Times New Roman" w:eastAsia="宋体" w:cs="Times New Roman"/>
                <w:b/>
                <w:bCs/>
                <w:kern w:val="0"/>
                <w:sz w:val="18"/>
                <w:szCs w:val="18"/>
              </w:rPr>
              <w:t>总平均值（%）</w:t>
            </w:r>
          </w:p>
        </w:tc>
        <w:tc>
          <w:tcPr>
            <w:tcW w:w="1059" w:type="dxa"/>
            <w:shd w:val="clear" w:color="auto" w:fill="auto"/>
            <w:vAlign w:val="center"/>
          </w:tcPr>
          <w:p w14:paraId="210A25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5.070</w:t>
            </w:r>
          </w:p>
        </w:tc>
        <w:tc>
          <w:tcPr>
            <w:tcW w:w="1059" w:type="dxa"/>
            <w:shd w:val="clear" w:color="auto" w:fill="auto"/>
            <w:vAlign w:val="center"/>
          </w:tcPr>
          <w:p w14:paraId="5E7C46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3.067</w:t>
            </w:r>
          </w:p>
        </w:tc>
        <w:tc>
          <w:tcPr>
            <w:tcW w:w="1059" w:type="dxa"/>
            <w:shd w:val="clear" w:color="auto" w:fill="auto"/>
            <w:vAlign w:val="center"/>
          </w:tcPr>
          <w:p w14:paraId="4D5A1D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0.955</w:t>
            </w:r>
          </w:p>
        </w:tc>
        <w:tc>
          <w:tcPr>
            <w:tcW w:w="1059" w:type="dxa"/>
            <w:shd w:val="clear" w:color="auto" w:fill="auto"/>
            <w:vAlign w:val="center"/>
          </w:tcPr>
          <w:p w14:paraId="09BB04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0.544</w:t>
            </w:r>
          </w:p>
        </w:tc>
        <w:tc>
          <w:tcPr>
            <w:tcW w:w="1072" w:type="dxa"/>
            <w:shd w:val="clear" w:color="auto" w:fill="auto"/>
            <w:vAlign w:val="center"/>
          </w:tcPr>
          <w:p w14:paraId="70DD37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0.107</w:t>
            </w:r>
          </w:p>
        </w:tc>
      </w:tr>
      <w:bookmarkEnd w:id="31"/>
      <w:tr w14:paraId="5F75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1" w:type="dxa"/>
          </w:tcPr>
          <w:p w14:paraId="71F47729">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偏倚</w:t>
            </w:r>
            <w:r>
              <w:rPr>
                <w:rFonts w:hint="eastAsia" w:cs="Times New Roman"/>
                <w:b/>
                <w:bCs/>
                <w:i/>
                <w:iCs/>
                <w:kern w:val="0"/>
                <w:sz w:val="18"/>
                <w:szCs w:val="18"/>
                <w:lang w:eastAsia="zh-CN"/>
              </w:rPr>
              <w:t>bias</w:t>
            </w:r>
            <w:r>
              <w:rPr>
                <w:rFonts w:hint="default" w:ascii="Times New Roman" w:hAnsi="Times New Roman" w:eastAsia="宋体" w:cs="Times New Roman"/>
                <w:b/>
                <w:bCs/>
                <w:kern w:val="0"/>
                <w:sz w:val="18"/>
                <w:szCs w:val="18"/>
                <w:vertAlign w:val="subscript"/>
              </w:rPr>
              <w:t>j</w:t>
            </w:r>
          </w:p>
        </w:tc>
        <w:tc>
          <w:tcPr>
            <w:tcW w:w="1059" w:type="dxa"/>
            <w:shd w:val="clear" w:color="auto" w:fill="auto"/>
            <w:vAlign w:val="center"/>
          </w:tcPr>
          <w:p w14:paraId="5F9C2D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6.958E-02</w:t>
            </w:r>
          </w:p>
        </w:tc>
        <w:tc>
          <w:tcPr>
            <w:tcW w:w="1059" w:type="dxa"/>
            <w:shd w:val="clear" w:color="auto" w:fill="auto"/>
            <w:vAlign w:val="center"/>
          </w:tcPr>
          <w:p w14:paraId="1E3CD7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6.667E-02</w:t>
            </w:r>
          </w:p>
        </w:tc>
        <w:tc>
          <w:tcPr>
            <w:tcW w:w="1059" w:type="dxa"/>
            <w:shd w:val="clear" w:color="auto" w:fill="auto"/>
            <w:vAlign w:val="center"/>
          </w:tcPr>
          <w:p w14:paraId="427A0E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-4.542E-02</w:t>
            </w:r>
          </w:p>
        </w:tc>
        <w:tc>
          <w:tcPr>
            <w:tcW w:w="1059" w:type="dxa"/>
            <w:shd w:val="clear" w:color="auto" w:fill="auto"/>
            <w:vAlign w:val="center"/>
          </w:tcPr>
          <w:p w14:paraId="51FD69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4.375E-02</w:t>
            </w:r>
          </w:p>
        </w:tc>
        <w:tc>
          <w:tcPr>
            <w:tcW w:w="1072" w:type="dxa"/>
            <w:shd w:val="clear" w:color="auto" w:fill="auto"/>
            <w:vAlign w:val="center"/>
          </w:tcPr>
          <w:p w14:paraId="258B1C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7.083E-03</w:t>
            </w:r>
          </w:p>
        </w:tc>
      </w:tr>
      <w:tr w14:paraId="4A61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1" w:type="dxa"/>
          </w:tcPr>
          <w:p w14:paraId="5BB96B36">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相对偏倚</w:t>
            </w:r>
            <w:r>
              <w:rPr>
                <w:rFonts w:hint="default" w:ascii="Times New Roman" w:hAnsi="Times New Roman" w:eastAsia="宋体" w:cs="Times New Roman"/>
                <w:b/>
                <w:bCs/>
                <w:sz w:val="18"/>
                <w:szCs w:val="18"/>
              </w:rPr>
              <w:fldChar w:fldCharType="begin"/>
            </w:r>
            <w:r>
              <w:rPr>
                <w:rFonts w:hint="default" w:ascii="Times New Roman" w:hAnsi="Times New Roman" w:eastAsia="宋体" w:cs="Times New Roman"/>
                <w:b/>
                <w:bCs/>
                <w:sz w:val="18"/>
                <w:szCs w:val="18"/>
              </w:rPr>
              <w:instrText xml:space="preserve"> QUOTE </w:instrText>
            </w:r>
            <w:r>
              <w:rPr>
                <w:rFonts w:hint="default" w:ascii="Times New Roman" w:hAnsi="Times New Roman" w:eastAsia="宋体" w:cs="Times New Roman"/>
                <w:b/>
                <w:bCs/>
                <w:position w:val="-15"/>
                <w:sz w:val="18"/>
                <w:szCs w:val="18"/>
              </w:rPr>
              <w:drawing>
                <wp:inline distT="0" distB="0" distL="114300" distR="114300">
                  <wp:extent cx="370840" cy="293370"/>
                  <wp:effectExtent l="0" t="0" r="10160" b="0"/>
                  <wp:docPr id="219"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3"/>
                          <pic:cNvPicPr>
                            <a:picLocks noChangeAspect="1"/>
                          </pic:cNvPicPr>
                        </pic:nvPicPr>
                        <pic:blipFill>
                          <a:blip r:embed="rId47">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b/>
                <w:bCs/>
                <w:sz w:val="18"/>
                <w:szCs w:val="18"/>
              </w:rPr>
              <w:fldChar w:fldCharType="separate"/>
            </w:r>
            <w:r>
              <w:rPr>
                <w:rFonts w:hint="eastAsia" w:cs="Times New Roman"/>
                <w:b/>
                <w:bCs/>
                <w:i/>
                <w:iCs/>
                <w:sz w:val="18"/>
                <w:szCs w:val="18"/>
                <w:lang w:eastAsia="zh-CN"/>
              </w:rPr>
              <w:t>bias</w:t>
            </w:r>
            <w:r>
              <w:rPr>
                <w:rFonts w:hint="default" w:ascii="Times New Roman" w:hAnsi="Times New Roman" w:eastAsia="宋体" w:cs="Times New Roman"/>
                <w:b/>
                <w:bCs/>
                <w:i/>
                <w:iCs/>
                <w:sz w:val="18"/>
                <w:szCs w:val="18"/>
              </w:rPr>
              <w:t>R</w:t>
            </w:r>
            <w:r>
              <w:rPr>
                <w:rFonts w:hint="default" w:ascii="Times New Roman" w:hAnsi="Times New Roman" w:eastAsia="宋体" w:cs="Times New Roman"/>
                <w:b/>
                <w:bCs/>
                <w:sz w:val="18"/>
                <w:szCs w:val="18"/>
                <w:vertAlign w:val="subscript"/>
              </w:rPr>
              <w:t>j</w:t>
            </w:r>
            <w:r>
              <w:rPr>
                <w:rFonts w:hint="default" w:ascii="Times New Roman" w:hAnsi="Times New Roman" w:eastAsia="宋体" w:cs="Times New Roman"/>
                <w:b/>
                <w:bCs/>
                <w:sz w:val="18"/>
                <w:szCs w:val="18"/>
              </w:rPr>
              <w:fldChar w:fldCharType="end"/>
            </w:r>
            <w:r>
              <w:rPr>
                <w:rFonts w:hint="default" w:ascii="Times New Roman" w:hAnsi="Times New Roman" w:eastAsia="宋体" w:cs="Times New Roman"/>
                <w:b/>
                <w:bCs/>
                <w:sz w:val="18"/>
                <w:szCs w:val="18"/>
              </w:rPr>
              <w:t>（%）</w:t>
            </w:r>
          </w:p>
        </w:tc>
        <w:tc>
          <w:tcPr>
            <w:tcW w:w="1059" w:type="dxa"/>
            <w:shd w:val="clear" w:color="auto" w:fill="auto"/>
            <w:vAlign w:val="center"/>
          </w:tcPr>
          <w:p w14:paraId="76452A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1.392</w:t>
            </w:r>
          </w:p>
        </w:tc>
        <w:tc>
          <w:tcPr>
            <w:tcW w:w="1059" w:type="dxa"/>
            <w:shd w:val="clear" w:color="auto" w:fill="auto"/>
            <w:vAlign w:val="center"/>
          </w:tcPr>
          <w:p w14:paraId="71A841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2.222</w:t>
            </w:r>
          </w:p>
        </w:tc>
        <w:tc>
          <w:tcPr>
            <w:tcW w:w="1059" w:type="dxa"/>
            <w:shd w:val="clear" w:color="auto" w:fill="auto"/>
            <w:vAlign w:val="center"/>
          </w:tcPr>
          <w:p w14:paraId="7A5770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-4.542</w:t>
            </w:r>
          </w:p>
        </w:tc>
        <w:tc>
          <w:tcPr>
            <w:tcW w:w="1059" w:type="dxa"/>
            <w:shd w:val="clear" w:color="auto" w:fill="auto"/>
            <w:vAlign w:val="center"/>
          </w:tcPr>
          <w:p w14:paraId="4FEEBE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8.750</w:t>
            </w:r>
          </w:p>
        </w:tc>
        <w:tc>
          <w:tcPr>
            <w:tcW w:w="1072" w:type="dxa"/>
            <w:shd w:val="clear" w:color="auto" w:fill="auto"/>
            <w:vAlign w:val="center"/>
          </w:tcPr>
          <w:p w14:paraId="2B70C8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7.083</w:t>
            </w:r>
          </w:p>
        </w:tc>
      </w:tr>
    </w:tbl>
    <w:p w14:paraId="540E47E2">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p>
    <w:p w14:paraId="4FB91238">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5个含量样品检测结果总平均值与标称值的相对偏倚</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sz w:val="21"/>
          <w:szCs w:val="21"/>
        </w:rPr>
        <w:drawing>
          <wp:inline distT="0" distB="0" distL="114300" distR="114300">
            <wp:extent cx="370840" cy="293370"/>
            <wp:effectExtent l="0" t="0" r="10160" b="0"/>
            <wp:docPr id="22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04"/>
                    <pic:cNvPicPr>
                      <a:picLocks noChangeAspect="1"/>
                    </pic:cNvPicPr>
                  </pic:nvPicPr>
                  <pic:blipFill>
                    <a:blip r:embed="rId47">
                      <a:clrChange>
                        <a:clrFrom>
                          <a:srgbClr val="FFFFFF"/>
                        </a:clrFrom>
                        <a:clrTo>
                          <a:srgbClr val="FFFFFF">
                            <a:alpha val="0"/>
                          </a:srgbClr>
                        </a:clrTo>
                      </a:clrChange>
                      <a:lum/>
                    </a:blip>
                    <a:stretch>
                      <a:fillRect/>
                    </a:stretch>
                  </pic:blipFill>
                  <pic:spPr>
                    <a:xfrm>
                      <a:off x="0" y="0"/>
                      <a:ext cx="370840"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eastAsia" w:cs="Times New Roman"/>
          <w:i/>
          <w:iCs/>
          <w:sz w:val="21"/>
          <w:szCs w:val="21"/>
          <w:lang w:eastAsia="zh-CN"/>
        </w:rPr>
        <w:t>bias</w:t>
      </w:r>
      <w:r>
        <w:rPr>
          <w:rFonts w:hint="default" w:ascii="Times New Roman" w:hAnsi="Times New Roman" w:eastAsia="宋体" w:cs="Times New Roman"/>
          <w:i/>
          <w:iCs/>
          <w:sz w:val="21"/>
          <w:szCs w:val="21"/>
        </w:rPr>
        <w:t>R</w:t>
      </w:r>
      <w:r>
        <w:rPr>
          <w:rFonts w:hint="default" w:ascii="Times New Roman" w:hAnsi="Times New Roman" w:eastAsia="宋体" w:cs="Times New Roman"/>
          <w:i/>
          <w:iCs/>
          <w:sz w:val="21"/>
          <w:szCs w:val="21"/>
          <w:vertAlign w:val="subscript"/>
        </w:rPr>
        <w:t>j</w:t>
      </w:r>
      <w:r>
        <w:rPr>
          <w:rFonts w:hint="default" w:ascii="Times New Roman" w:hAnsi="Times New Roman" w:eastAsia="宋体" w:cs="Times New Roman"/>
          <w:sz w:val="21"/>
          <w:szCs w:val="21"/>
        </w:rPr>
        <w:t>在</w:t>
      </w:r>
      <w:r>
        <w:rPr>
          <w:rFonts w:hint="default" w:ascii="Times New Roman" w:hAnsi="Times New Roman" w:eastAsia="宋体" w:cs="Times New Roman"/>
          <w:i w:val="0"/>
          <w:iCs w:val="0"/>
          <w:color w:val="000000"/>
          <w:kern w:val="0"/>
          <w:sz w:val="21"/>
          <w:szCs w:val="21"/>
          <w:u w:val="none"/>
          <w:lang w:val="en-US" w:eastAsia="zh-CN" w:bidi="ar"/>
        </w:rPr>
        <w:t>-4.542</w:t>
      </w:r>
      <w:r>
        <w:rPr>
          <w:rFonts w:hint="default" w:ascii="Times New Roman" w:hAnsi="Times New Roman" w:eastAsia="宋体" w:cs="Times New Roman"/>
          <w:sz w:val="21"/>
          <w:szCs w:val="21"/>
        </w:rPr>
        <w:t>%～</w:t>
      </w:r>
      <w:r>
        <w:rPr>
          <w:rFonts w:hint="default" w:ascii="Times New Roman" w:hAnsi="Times New Roman" w:eastAsia="宋体" w:cs="Times New Roman"/>
          <w:i w:val="0"/>
          <w:iCs w:val="0"/>
          <w:color w:val="000000"/>
          <w:kern w:val="0"/>
          <w:sz w:val="21"/>
          <w:szCs w:val="21"/>
          <w:u w:val="none"/>
          <w:lang w:val="en-US" w:eastAsia="zh-CN" w:bidi="ar"/>
        </w:rPr>
        <w:t>8.750</w:t>
      </w:r>
      <w:r>
        <w:rPr>
          <w:rFonts w:hint="default" w:ascii="Times New Roman" w:hAnsi="Times New Roman" w:eastAsia="宋体" w:cs="Times New Roman"/>
          <w:sz w:val="21"/>
          <w:szCs w:val="21"/>
        </w:rPr>
        <w:t>%之间，在允许的±25%区间内</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rPr>
        <w:t>表明</w:t>
      </w:r>
      <w:r>
        <w:rPr>
          <w:rFonts w:hint="eastAsia" w:cs="Times New Roman"/>
          <w:sz w:val="21"/>
          <w:szCs w:val="21"/>
          <w:lang w:eastAsia="zh-CN"/>
        </w:rPr>
        <w:t>QY2569-42</w:t>
      </w:r>
      <w:r>
        <w:rPr>
          <w:rFonts w:hint="default" w:ascii="Times New Roman" w:hAnsi="Times New Roman" w:eastAsia="宋体" w:cs="Times New Roman"/>
          <w:sz w:val="21"/>
          <w:szCs w:val="21"/>
        </w:rPr>
        <w:t>转化体荧光定量PCR方法检测结果具有良好的正确度。</w:t>
      </w:r>
    </w:p>
    <w:p w14:paraId="0D59606C">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highlight w:val="none"/>
          <w:lang w:val="en-US" w:eastAsia="zh-CN" w:bidi="ar-SA"/>
        </w:rPr>
      </w:pPr>
      <w:r>
        <w:rPr>
          <w:rFonts w:hint="default" w:ascii="Times New Roman" w:hAnsi="Times New Roman" w:eastAsia="黑体" w:cs="Calibri"/>
          <w:b w:val="0"/>
          <w:bCs/>
          <w:kern w:val="2"/>
          <w:sz w:val="21"/>
          <w:szCs w:val="28"/>
          <w:highlight w:val="none"/>
          <w:lang w:val="en-US" w:eastAsia="zh-CN" w:bidi="ar-SA"/>
        </w:rPr>
        <w:t>2.3.3 准确度分析方法和结果</w:t>
      </w:r>
    </w:p>
    <w:p w14:paraId="412669D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方法的准确度包括正确度和精密度。汇总“2.2.2</w:t>
      </w:r>
      <w:r>
        <w:rPr>
          <w:rFonts w:hint="eastAsia" w:cs="Times New Roman"/>
          <w:sz w:val="21"/>
          <w:szCs w:val="21"/>
          <w:lang w:val="en-US" w:eastAsia="zh-CN"/>
        </w:rPr>
        <w:t xml:space="preserve"> </w:t>
      </w:r>
      <w:r>
        <w:rPr>
          <w:rFonts w:hint="default" w:ascii="Times New Roman" w:hAnsi="Times New Roman" w:eastAsia="宋体" w:cs="Times New Roman"/>
          <w:sz w:val="21"/>
          <w:szCs w:val="21"/>
        </w:rPr>
        <w:t>实验室有效检测数据统计”的结论、</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11和</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12的数据，形成实验室联合验证数据的汇总分析结果（详见</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13）。可以看出：5个含量样品8个实验室的测量平均值分别为</w:t>
      </w:r>
      <w:r>
        <w:rPr>
          <w:rFonts w:hint="eastAsia" w:ascii="Times New Roman" w:hAnsi="Times New Roman" w:eastAsia="宋体" w:cs="Times New Roman"/>
          <w:sz w:val="21"/>
          <w:szCs w:val="21"/>
          <w:lang w:val="en-US" w:eastAsia="zh-CN"/>
        </w:rPr>
        <w:t>5.070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3.067</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0.955</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0.544</w:t>
      </w:r>
      <w:r>
        <w:rPr>
          <w:rFonts w:hint="default" w:ascii="Times New Roman" w:hAnsi="Times New Roman" w:eastAsia="宋体" w:cs="Times New Roman"/>
          <w:sz w:val="21"/>
          <w:szCs w:val="21"/>
        </w:rPr>
        <w:t>%和</w:t>
      </w:r>
      <w:r>
        <w:rPr>
          <w:rFonts w:hint="eastAsia" w:ascii="Times New Roman" w:hAnsi="Times New Roman" w:eastAsia="宋体" w:cs="Times New Roman"/>
          <w:sz w:val="21"/>
          <w:szCs w:val="21"/>
          <w:lang w:val="en-US" w:eastAsia="zh-CN"/>
        </w:rPr>
        <w:t>0.107</w:t>
      </w:r>
      <w:r>
        <w:rPr>
          <w:rFonts w:hint="default" w:ascii="Times New Roman" w:hAnsi="Times New Roman" w:eastAsia="宋体" w:cs="Times New Roman"/>
          <w:sz w:val="21"/>
          <w:szCs w:val="21"/>
        </w:rPr>
        <w:t>%，检测平均值相对偏倚（</w:t>
      </w:r>
      <w:r>
        <w:rPr>
          <w:rFonts w:hint="eastAsia" w:cs="Times New Roman"/>
          <w:i/>
          <w:iCs/>
          <w:sz w:val="21"/>
          <w:szCs w:val="21"/>
          <w:lang w:eastAsia="zh-CN"/>
        </w:rPr>
        <w:t>bias</w:t>
      </w:r>
      <w:r>
        <w:rPr>
          <w:rFonts w:hint="default" w:ascii="Times New Roman" w:hAnsi="Times New Roman" w:eastAsia="宋体" w:cs="Times New Roman"/>
          <w:i/>
          <w:iCs/>
          <w:sz w:val="21"/>
          <w:szCs w:val="21"/>
        </w:rPr>
        <w:t>R</w:t>
      </w:r>
      <w:r>
        <w:rPr>
          <w:rFonts w:hint="default" w:ascii="Times New Roman" w:hAnsi="Times New Roman" w:eastAsia="宋体" w:cs="Times New Roman"/>
          <w:sz w:val="21"/>
          <w:szCs w:val="21"/>
          <w:vertAlign w:val="subscript"/>
        </w:rPr>
        <w:t>j</w:t>
      </w:r>
      <w:r>
        <w:rPr>
          <w:rFonts w:hint="default" w:ascii="Times New Roman" w:hAnsi="Times New Roman" w:eastAsia="宋体" w:cs="Times New Roman"/>
          <w:sz w:val="21"/>
          <w:szCs w:val="21"/>
        </w:rPr>
        <w:t>）在</w:t>
      </w:r>
      <w:r>
        <w:rPr>
          <w:rFonts w:hint="default" w:ascii="Times New Roman" w:hAnsi="Times New Roman" w:eastAsia="宋体" w:cs="Times New Roman"/>
          <w:sz w:val="21"/>
          <w:szCs w:val="21"/>
          <w:lang w:val="en-US" w:eastAsia="zh-CN"/>
        </w:rPr>
        <w:t>-4.542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8.750</w:t>
      </w:r>
      <w:r>
        <w:rPr>
          <w:rFonts w:hint="default" w:ascii="Times New Roman" w:hAnsi="Times New Roman" w:eastAsia="宋体" w:cs="Times New Roman"/>
          <w:sz w:val="21"/>
          <w:szCs w:val="21"/>
        </w:rPr>
        <w:t>%之间，位于±25%的区间内，正确度符合要求。重复性相对标准差</w:t>
      </w:r>
      <w:r>
        <w:rPr>
          <w:rFonts w:hint="default" w:ascii="Times New Roman" w:hAnsi="Times New Roman" w:eastAsia="宋体" w:cs="Times New Roman"/>
          <w:i/>
          <w:iCs/>
          <w:sz w:val="21"/>
          <w:szCs w:val="21"/>
        </w:rPr>
        <w:t>RSD</w:t>
      </w:r>
      <w:r>
        <w:rPr>
          <w:rFonts w:hint="default" w:ascii="Times New Roman" w:hAnsi="Times New Roman" w:eastAsia="宋体" w:cs="Times New Roman"/>
          <w:sz w:val="21"/>
          <w:szCs w:val="21"/>
          <w:vertAlign w:val="subscript"/>
        </w:rPr>
        <w:t>jr</w:t>
      </w:r>
      <w:r>
        <w:rPr>
          <w:rFonts w:hint="default" w:ascii="Times New Roman" w:hAnsi="Times New Roman" w:eastAsia="宋体" w:cs="Times New Roman"/>
          <w:sz w:val="21"/>
          <w:szCs w:val="21"/>
        </w:rPr>
        <w:t>均小于25%，再现性相对标准差</w:t>
      </w:r>
      <w:r>
        <w:rPr>
          <w:rFonts w:hint="default" w:ascii="Times New Roman" w:hAnsi="Times New Roman" w:eastAsia="宋体" w:cs="Times New Roman"/>
          <w:i/>
          <w:iCs/>
          <w:sz w:val="21"/>
          <w:szCs w:val="21"/>
        </w:rPr>
        <w:t>RSD</w:t>
      </w:r>
      <w:r>
        <w:rPr>
          <w:rFonts w:hint="default" w:ascii="Times New Roman" w:hAnsi="Times New Roman" w:eastAsia="宋体" w:cs="Times New Roman"/>
          <w:sz w:val="21"/>
          <w:szCs w:val="21"/>
          <w:vertAlign w:val="subscript"/>
        </w:rPr>
        <w:t>jR</w:t>
      </w:r>
      <w:r>
        <w:rPr>
          <w:rFonts w:hint="default" w:ascii="Times New Roman" w:hAnsi="Times New Roman" w:eastAsia="宋体" w:cs="Times New Roman"/>
          <w:sz w:val="21"/>
          <w:szCs w:val="21"/>
        </w:rPr>
        <w:t>均小于35%，精密度符合要求。</w:t>
      </w:r>
    </w:p>
    <w:p w14:paraId="7EEDD7F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32"/>
          <w:szCs w:val="32"/>
        </w:rPr>
      </w:pPr>
      <w:r>
        <w:rPr>
          <w:rFonts w:hint="default" w:ascii="Times New Roman" w:hAnsi="Times New Roman" w:eastAsia="宋体" w:cs="Times New Roman"/>
          <w:sz w:val="21"/>
          <w:szCs w:val="21"/>
        </w:rPr>
        <w:t>鉴于结果的正确度和精密度指标均符合农业部2259号公告—5—2015的要求，说明本方法具有良好的准确度。</w:t>
      </w:r>
    </w:p>
    <w:p w14:paraId="1BD69E84">
      <w:pPr>
        <w:pStyle w:val="8"/>
        <w:keepNext/>
        <w:bidi w:val="0"/>
        <w:spacing w:line="240" w:lineRule="auto"/>
        <w:ind w:firstLine="0" w:firstLineChars="0"/>
        <w:jc w:val="center"/>
        <w:rPr>
          <w:rFonts w:hint="default" w:ascii="Times New Roman" w:hAnsi="Times New Roman" w:eastAsia="黑体" w:cs="Calibri"/>
          <w:sz w:val="18"/>
          <w:szCs w:val="22"/>
          <w:highlight w:val="none"/>
          <w:lang w:val="en-US" w:eastAsia="zh-CN"/>
        </w:rPr>
      </w:pPr>
      <w:r>
        <w:rPr>
          <w:rFonts w:hint="eastAsia" w:ascii="Times New Roman" w:hAnsi="Times New Roman" w:eastAsia="黑体" w:cs="Calibri"/>
          <w:sz w:val="18"/>
          <w:szCs w:val="22"/>
          <w:highlight w:val="none"/>
          <w:lang w:val="en-US" w:eastAsia="zh-CN"/>
        </w:rPr>
        <w:t>表3-</w:t>
      </w:r>
      <w:r>
        <w:rPr>
          <w:rFonts w:hint="default" w:ascii="Times New Roman" w:hAnsi="Times New Roman" w:eastAsia="黑体" w:cs="Calibri"/>
          <w:sz w:val="18"/>
          <w:szCs w:val="22"/>
          <w:highlight w:val="none"/>
          <w:lang w:val="en-US" w:eastAsia="zh-CN"/>
        </w:rPr>
        <w:t>13 实验室联合验证数据的汇总分析结果</w:t>
      </w:r>
    </w:p>
    <w:tbl>
      <w:tblPr>
        <w:tblStyle w:val="16"/>
        <w:tblW w:w="8996" w:type="dxa"/>
        <w:jc w:val="center"/>
        <w:tblLayout w:type="fixed"/>
        <w:tblCellMar>
          <w:top w:w="0" w:type="dxa"/>
          <w:left w:w="108" w:type="dxa"/>
          <w:bottom w:w="0" w:type="dxa"/>
          <w:right w:w="108" w:type="dxa"/>
        </w:tblCellMar>
      </w:tblPr>
      <w:tblGrid>
        <w:gridCol w:w="3085"/>
        <w:gridCol w:w="1182"/>
        <w:gridCol w:w="1182"/>
        <w:gridCol w:w="1182"/>
        <w:gridCol w:w="1182"/>
        <w:gridCol w:w="1183"/>
      </w:tblGrid>
      <w:tr w14:paraId="4FE53F29">
        <w:tblPrEx>
          <w:tblCellMar>
            <w:top w:w="0" w:type="dxa"/>
            <w:left w:w="108" w:type="dxa"/>
            <w:bottom w:w="0" w:type="dxa"/>
            <w:right w:w="108" w:type="dxa"/>
          </w:tblCellMar>
        </w:tblPrEx>
        <w:trPr>
          <w:trHeight w:val="340" w:hRule="atLeast"/>
          <w:tblHeader/>
          <w:jc w:val="center"/>
        </w:trPr>
        <w:tc>
          <w:tcPr>
            <w:tcW w:w="3085" w:type="dxa"/>
            <w:vMerge w:val="restart"/>
            <w:tcBorders>
              <w:top w:val="single" w:color="auto" w:sz="4" w:space="0"/>
              <w:left w:val="single" w:color="auto" w:sz="4" w:space="0"/>
              <w:bottom w:val="single" w:color="000000" w:sz="4" w:space="0"/>
              <w:right w:val="single" w:color="auto" w:sz="4" w:space="0"/>
            </w:tcBorders>
            <w:vAlign w:val="center"/>
          </w:tcPr>
          <w:p w14:paraId="135A7316">
            <w:pPr>
              <w:widowControl/>
              <w:ind w:firstLine="420"/>
              <w:jc w:val="center"/>
              <w:rPr>
                <w:rFonts w:hint="default" w:ascii="Times New Roman" w:hAnsi="Times New Roman" w:eastAsia="宋体" w:cs="Times New Roman"/>
                <w:kern w:val="0"/>
                <w:sz w:val="18"/>
                <w:szCs w:val="18"/>
              </w:rPr>
            </w:pPr>
          </w:p>
        </w:tc>
        <w:tc>
          <w:tcPr>
            <w:tcW w:w="5911" w:type="dxa"/>
            <w:gridSpan w:val="5"/>
            <w:tcBorders>
              <w:top w:val="single" w:color="auto" w:sz="4" w:space="0"/>
              <w:left w:val="nil"/>
              <w:bottom w:val="single" w:color="auto" w:sz="4" w:space="0"/>
              <w:right w:val="single" w:color="auto" w:sz="4" w:space="0"/>
            </w:tcBorders>
            <w:vAlign w:val="center"/>
          </w:tcPr>
          <w:p w14:paraId="3F250584">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测试样品预期值（%）</w:t>
            </w:r>
          </w:p>
        </w:tc>
      </w:tr>
      <w:tr w14:paraId="6A439371">
        <w:tblPrEx>
          <w:tblCellMar>
            <w:top w:w="0" w:type="dxa"/>
            <w:left w:w="108" w:type="dxa"/>
            <w:bottom w:w="0" w:type="dxa"/>
            <w:right w:w="108" w:type="dxa"/>
          </w:tblCellMar>
        </w:tblPrEx>
        <w:trPr>
          <w:trHeight w:val="340" w:hRule="atLeast"/>
          <w:tblHeader/>
          <w:jc w:val="center"/>
        </w:trPr>
        <w:tc>
          <w:tcPr>
            <w:tcW w:w="3085" w:type="dxa"/>
            <w:vMerge w:val="continue"/>
            <w:tcBorders>
              <w:top w:val="single" w:color="auto" w:sz="4" w:space="0"/>
              <w:left w:val="single" w:color="auto" w:sz="4" w:space="0"/>
              <w:bottom w:val="single" w:color="000000" w:sz="4" w:space="0"/>
              <w:right w:val="single" w:color="auto" w:sz="4" w:space="0"/>
            </w:tcBorders>
            <w:vAlign w:val="center"/>
          </w:tcPr>
          <w:p w14:paraId="3FC5498D">
            <w:pPr>
              <w:widowControl/>
              <w:jc w:val="left"/>
              <w:rPr>
                <w:rFonts w:hint="default" w:ascii="Times New Roman" w:hAnsi="Times New Roman" w:eastAsia="宋体" w:cs="Times New Roman"/>
                <w:kern w:val="0"/>
                <w:sz w:val="18"/>
                <w:szCs w:val="18"/>
              </w:rPr>
            </w:pPr>
          </w:p>
        </w:tc>
        <w:tc>
          <w:tcPr>
            <w:tcW w:w="1182" w:type="dxa"/>
            <w:tcBorders>
              <w:top w:val="nil"/>
              <w:left w:val="nil"/>
              <w:bottom w:val="single" w:color="auto" w:sz="4" w:space="0"/>
              <w:right w:val="single" w:color="auto" w:sz="4" w:space="0"/>
            </w:tcBorders>
            <w:vAlign w:val="center"/>
          </w:tcPr>
          <w:p w14:paraId="5EA018BA">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5.0</w:t>
            </w:r>
          </w:p>
        </w:tc>
        <w:tc>
          <w:tcPr>
            <w:tcW w:w="1182" w:type="dxa"/>
            <w:tcBorders>
              <w:top w:val="nil"/>
              <w:left w:val="nil"/>
              <w:bottom w:val="single" w:color="auto" w:sz="4" w:space="0"/>
              <w:right w:val="single" w:color="auto" w:sz="4" w:space="0"/>
            </w:tcBorders>
            <w:vAlign w:val="center"/>
          </w:tcPr>
          <w:p w14:paraId="41A95BF4">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2.0</w:t>
            </w:r>
          </w:p>
        </w:tc>
        <w:tc>
          <w:tcPr>
            <w:tcW w:w="1182" w:type="dxa"/>
            <w:tcBorders>
              <w:top w:val="nil"/>
              <w:left w:val="nil"/>
              <w:bottom w:val="single" w:color="auto" w:sz="4" w:space="0"/>
              <w:right w:val="single" w:color="auto" w:sz="4" w:space="0"/>
            </w:tcBorders>
            <w:vAlign w:val="center"/>
          </w:tcPr>
          <w:p w14:paraId="0ACC5BE8">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1.0</w:t>
            </w:r>
          </w:p>
        </w:tc>
        <w:tc>
          <w:tcPr>
            <w:tcW w:w="1182" w:type="dxa"/>
            <w:tcBorders>
              <w:top w:val="nil"/>
              <w:left w:val="nil"/>
              <w:bottom w:val="single" w:color="auto" w:sz="4" w:space="0"/>
              <w:right w:val="single" w:color="auto" w:sz="4" w:space="0"/>
            </w:tcBorders>
            <w:vAlign w:val="center"/>
          </w:tcPr>
          <w:p w14:paraId="247DB258">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0.5</w:t>
            </w:r>
          </w:p>
        </w:tc>
        <w:tc>
          <w:tcPr>
            <w:tcW w:w="1183" w:type="dxa"/>
            <w:tcBorders>
              <w:top w:val="nil"/>
              <w:left w:val="nil"/>
              <w:bottom w:val="single" w:color="auto" w:sz="4" w:space="0"/>
              <w:right w:val="single" w:color="auto" w:sz="4" w:space="0"/>
            </w:tcBorders>
            <w:vAlign w:val="center"/>
          </w:tcPr>
          <w:p w14:paraId="32571676">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0.1</w:t>
            </w:r>
          </w:p>
        </w:tc>
      </w:tr>
      <w:tr w14:paraId="485BA157">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18712428">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返回数据实验室数</w:t>
            </w:r>
          </w:p>
        </w:tc>
        <w:tc>
          <w:tcPr>
            <w:tcW w:w="1182" w:type="dxa"/>
            <w:tcBorders>
              <w:top w:val="nil"/>
              <w:left w:val="nil"/>
              <w:bottom w:val="single" w:color="auto" w:sz="4" w:space="0"/>
              <w:right w:val="single" w:color="auto" w:sz="4" w:space="0"/>
            </w:tcBorders>
            <w:vAlign w:val="center"/>
          </w:tcPr>
          <w:p w14:paraId="048F92A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8</w:t>
            </w:r>
          </w:p>
        </w:tc>
        <w:tc>
          <w:tcPr>
            <w:tcW w:w="1182" w:type="dxa"/>
            <w:tcBorders>
              <w:top w:val="nil"/>
              <w:left w:val="nil"/>
              <w:bottom w:val="single" w:color="auto" w:sz="4" w:space="0"/>
              <w:right w:val="single" w:color="auto" w:sz="4" w:space="0"/>
            </w:tcBorders>
            <w:vAlign w:val="center"/>
          </w:tcPr>
          <w:p w14:paraId="7137C76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8</w:t>
            </w:r>
          </w:p>
        </w:tc>
        <w:tc>
          <w:tcPr>
            <w:tcW w:w="1182" w:type="dxa"/>
            <w:tcBorders>
              <w:top w:val="nil"/>
              <w:left w:val="nil"/>
              <w:bottom w:val="single" w:color="auto" w:sz="4" w:space="0"/>
              <w:right w:val="single" w:color="auto" w:sz="4" w:space="0"/>
            </w:tcBorders>
            <w:vAlign w:val="center"/>
          </w:tcPr>
          <w:p w14:paraId="167D280B">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8</w:t>
            </w:r>
          </w:p>
        </w:tc>
        <w:tc>
          <w:tcPr>
            <w:tcW w:w="1182" w:type="dxa"/>
            <w:tcBorders>
              <w:top w:val="nil"/>
              <w:left w:val="nil"/>
              <w:bottom w:val="single" w:color="auto" w:sz="4" w:space="0"/>
              <w:right w:val="single" w:color="auto" w:sz="4" w:space="0"/>
            </w:tcBorders>
            <w:vAlign w:val="center"/>
          </w:tcPr>
          <w:p w14:paraId="524B5CB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8</w:t>
            </w:r>
          </w:p>
        </w:tc>
        <w:tc>
          <w:tcPr>
            <w:tcW w:w="1183" w:type="dxa"/>
            <w:tcBorders>
              <w:top w:val="nil"/>
              <w:left w:val="nil"/>
              <w:bottom w:val="single" w:color="auto" w:sz="4" w:space="0"/>
              <w:right w:val="single" w:color="auto" w:sz="4" w:space="0"/>
            </w:tcBorders>
            <w:vAlign w:val="center"/>
          </w:tcPr>
          <w:p w14:paraId="5B39067D">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8</w:t>
            </w:r>
          </w:p>
        </w:tc>
      </w:tr>
      <w:tr w14:paraId="79EBC4D6">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431E0668">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每个实验室平行样品个数</w:t>
            </w:r>
          </w:p>
        </w:tc>
        <w:tc>
          <w:tcPr>
            <w:tcW w:w="1182" w:type="dxa"/>
            <w:tcBorders>
              <w:top w:val="nil"/>
              <w:left w:val="nil"/>
              <w:bottom w:val="single" w:color="auto" w:sz="4" w:space="0"/>
              <w:right w:val="single" w:color="auto" w:sz="4" w:space="0"/>
            </w:tcBorders>
            <w:vAlign w:val="center"/>
          </w:tcPr>
          <w:p w14:paraId="33573E7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1182" w:type="dxa"/>
            <w:tcBorders>
              <w:top w:val="nil"/>
              <w:left w:val="nil"/>
              <w:bottom w:val="single" w:color="auto" w:sz="4" w:space="0"/>
              <w:right w:val="single" w:color="auto" w:sz="4" w:space="0"/>
            </w:tcBorders>
            <w:vAlign w:val="center"/>
          </w:tcPr>
          <w:p w14:paraId="044806B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1182" w:type="dxa"/>
            <w:tcBorders>
              <w:top w:val="nil"/>
              <w:left w:val="nil"/>
              <w:bottom w:val="single" w:color="auto" w:sz="4" w:space="0"/>
              <w:right w:val="single" w:color="auto" w:sz="4" w:space="0"/>
            </w:tcBorders>
            <w:vAlign w:val="center"/>
          </w:tcPr>
          <w:p w14:paraId="15511FE5">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1182" w:type="dxa"/>
            <w:tcBorders>
              <w:top w:val="nil"/>
              <w:left w:val="nil"/>
              <w:bottom w:val="single" w:color="auto" w:sz="4" w:space="0"/>
              <w:right w:val="single" w:color="auto" w:sz="4" w:space="0"/>
            </w:tcBorders>
            <w:vAlign w:val="center"/>
          </w:tcPr>
          <w:p w14:paraId="1D55AA1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1183" w:type="dxa"/>
            <w:tcBorders>
              <w:top w:val="nil"/>
              <w:left w:val="nil"/>
              <w:bottom w:val="single" w:color="auto" w:sz="4" w:space="0"/>
              <w:right w:val="single" w:color="auto" w:sz="4" w:space="0"/>
            </w:tcBorders>
            <w:vAlign w:val="center"/>
          </w:tcPr>
          <w:p w14:paraId="10C4154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r>
      <w:tr w14:paraId="119CE286">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0B223D1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离群值数</w:t>
            </w:r>
          </w:p>
        </w:tc>
        <w:tc>
          <w:tcPr>
            <w:tcW w:w="1182" w:type="dxa"/>
            <w:tcBorders>
              <w:top w:val="nil"/>
              <w:left w:val="nil"/>
              <w:bottom w:val="single" w:color="auto" w:sz="4" w:space="0"/>
              <w:right w:val="single" w:color="auto" w:sz="4" w:space="0"/>
            </w:tcBorders>
            <w:vAlign w:val="center"/>
          </w:tcPr>
          <w:p w14:paraId="50F72ED8">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0</w:t>
            </w:r>
          </w:p>
        </w:tc>
        <w:tc>
          <w:tcPr>
            <w:tcW w:w="1182" w:type="dxa"/>
            <w:tcBorders>
              <w:top w:val="nil"/>
              <w:left w:val="nil"/>
              <w:bottom w:val="single" w:color="auto" w:sz="4" w:space="0"/>
              <w:right w:val="single" w:color="auto" w:sz="4" w:space="0"/>
            </w:tcBorders>
            <w:vAlign w:val="center"/>
          </w:tcPr>
          <w:p w14:paraId="58A4A5C9">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0</w:t>
            </w:r>
          </w:p>
        </w:tc>
        <w:tc>
          <w:tcPr>
            <w:tcW w:w="1182" w:type="dxa"/>
            <w:tcBorders>
              <w:top w:val="nil"/>
              <w:left w:val="nil"/>
              <w:bottom w:val="single" w:color="auto" w:sz="4" w:space="0"/>
              <w:right w:val="single" w:color="auto" w:sz="4" w:space="0"/>
            </w:tcBorders>
            <w:vAlign w:val="center"/>
          </w:tcPr>
          <w:p w14:paraId="686B64B6">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0</w:t>
            </w:r>
          </w:p>
        </w:tc>
        <w:tc>
          <w:tcPr>
            <w:tcW w:w="1182" w:type="dxa"/>
            <w:tcBorders>
              <w:top w:val="nil"/>
              <w:left w:val="nil"/>
              <w:bottom w:val="single" w:color="auto" w:sz="4" w:space="0"/>
              <w:right w:val="single" w:color="auto" w:sz="4" w:space="0"/>
            </w:tcBorders>
            <w:vAlign w:val="center"/>
          </w:tcPr>
          <w:p w14:paraId="4BF74BA7">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0</w:t>
            </w:r>
          </w:p>
        </w:tc>
        <w:tc>
          <w:tcPr>
            <w:tcW w:w="1183" w:type="dxa"/>
            <w:tcBorders>
              <w:top w:val="nil"/>
              <w:left w:val="nil"/>
              <w:bottom w:val="single" w:color="auto" w:sz="4" w:space="0"/>
              <w:right w:val="single" w:color="auto" w:sz="4" w:space="0"/>
            </w:tcBorders>
            <w:vAlign w:val="center"/>
          </w:tcPr>
          <w:p w14:paraId="4A05CBC3">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0</w:t>
            </w:r>
          </w:p>
        </w:tc>
      </w:tr>
      <w:tr w14:paraId="670EDB75">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0A649334">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数据分析方法</w:t>
            </w:r>
          </w:p>
        </w:tc>
        <w:tc>
          <w:tcPr>
            <w:tcW w:w="5911" w:type="dxa"/>
            <w:gridSpan w:val="5"/>
            <w:tcBorders>
              <w:top w:val="single" w:color="auto" w:sz="4" w:space="0"/>
              <w:left w:val="nil"/>
              <w:bottom w:val="single" w:color="auto" w:sz="4" w:space="0"/>
              <w:right w:val="single" w:color="auto" w:sz="4" w:space="0"/>
            </w:tcBorders>
            <w:vAlign w:val="center"/>
          </w:tcPr>
          <w:p w14:paraId="29277DD0">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科克伦法和格拉布斯法</w:t>
            </w:r>
          </w:p>
        </w:tc>
      </w:tr>
      <w:tr w14:paraId="5DFA396F">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49359D7B">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平均值</w:t>
            </w:r>
            <w:r>
              <w:rPr>
                <w:rFonts w:hint="default" w:ascii="Times New Roman" w:hAnsi="Times New Roman" w:eastAsia="宋体" w:cs="Times New Roman"/>
                <w:b/>
                <w:bCs/>
                <w:sz w:val="18"/>
                <w:szCs w:val="18"/>
              </w:rPr>
              <w:t>（%）</w:t>
            </w:r>
          </w:p>
        </w:tc>
        <w:tc>
          <w:tcPr>
            <w:tcW w:w="1182" w:type="dxa"/>
            <w:tcBorders>
              <w:top w:val="nil"/>
              <w:left w:val="nil"/>
              <w:bottom w:val="single" w:color="auto" w:sz="4" w:space="0"/>
              <w:right w:val="single" w:color="auto" w:sz="4" w:space="0"/>
            </w:tcBorders>
            <w:shd w:val="clear" w:color="auto" w:fill="auto"/>
            <w:vAlign w:val="center"/>
          </w:tcPr>
          <w:p w14:paraId="2455F4F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5.070</w:t>
            </w:r>
          </w:p>
        </w:tc>
        <w:tc>
          <w:tcPr>
            <w:tcW w:w="1182" w:type="dxa"/>
            <w:tcBorders>
              <w:top w:val="nil"/>
              <w:left w:val="nil"/>
              <w:bottom w:val="single" w:color="auto" w:sz="4" w:space="0"/>
              <w:right w:val="single" w:color="auto" w:sz="4" w:space="0"/>
            </w:tcBorders>
            <w:shd w:val="clear" w:color="auto" w:fill="auto"/>
            <w:vAlign w:val="center"/>
          </w:tcPr>
          <w:p w14:paraId="2113810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3.067</w:t>
            </w:r>
          </w:p>
        </w:tc>
        <w:tc>
          <w:tcPr>
            <w:tcW w:w="1182" w:type="dxa"/>
            <w:tcBorders>
              <w:top w:val="nil"/>
              <w:left w:val="nil"/>
              <w:bottom w:val="single" w:color="auto" w:sz="4" w:space="0"/>
              <w:right w:val="single" w:color="auto" w:sz="4" w:space="0"/>
            </w:tcBorders>
            <w:shd w:val="clear" w:color="auto" w:fill="auto"/>
            <w:vAlign w:val="center"/>
          </w:tcPr>
          <w:p w14:paraId="05248E1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0.955</w:t>
            </w:r>
          </w:p>
        </w:tc>
        <w:tc>
          <w:tcPr>
            <w:tcW w:w="1182" w:type="dxa"/>
            <w:tcBorders>
              <w:top w:val="nil"/>
              <w:left w:val="nil"/>
              <w:bottom w:val="single" w:color="auto" w:sz="4" w:space="0"/>
              <w:right w:val="single" w:color="auto" w:sz="4" w:space="0"/>
            </w:tcBorders>
            <w:shd w:val="clear" w:color="auto" w:fill="auto"/>
            <w:vAlign w:val="center"/>
          </w:tcPr>
          <w:p w14:paraId="61C3D4F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0.544</w:t>
            </w:r>
          </w:p>
        </w:tc>
        <w:tc>
          <w:tcPr>
            <w:tcW w:w="1183" w:type="dxa"/>
            <w:tcBorders>
              <w:top w:val="nil"/>
              <w:left w:val="nil"/>
              <w:bottom w:val="single" w:color="auto" w:sz="4" w:space="0"/>
              <w:right w:val="single" w:color="auto" w:sz="4" w:space="0"/>
            </w:tcBorders>
            <w:shd w:val="clear" w:color="auto" w:fill="auto"/>
            <w:vAlign w:val="center"/>
          </w:tcPr>
          <w:p w14:paraId="06D6349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0.107</w:t>
            </w:r>
          </w:p>
        </w:tc>
      </w:tr>
      <w:tr w14:paraId="4F58299C">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0213A3FC">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重复性标准差</w:t>
            </w:r>
            <w:r>
              <w:rPr>
                <w:rFonts w:hint="default" w:ascii="Times New Roman" w:hAnsi="Times New Roman" w:eastAsia="宋体" w:cs="Times New Roman"/>
                <w:b/>
                <w:bCs/>
                <w:i/>
                <w:iCs/>
                <w:kern w:val="0"/>
                <w:sz w:val="18"/>
                <w:szCs w:val="18"/>
              </w:rPr>
              <w:t>s</w:t>
            </w:r>
            <w:r>
              <w:rPr>
                <w:rFonts w:hint="default" w:ascii="Times New Roman" w:hAnsi="Times New Roman" w:eastAsia="宋体" w:cs="Times New Roman"/>
                <w:b/>
                <w:bCs/>
                <w:kern w:val="0"/>
                <w:sz w:val="18"/>
                <w:szCs w:val="18"/>
                <w:vertAlign w:val="subscript"/>
              </w:rPr>
              <w:t>jr</w:t>
            </w:r>
          </w:p>
        </w:tc>
        <w:tc>
          <w:tcPr>
            <w:tcW w:w="1182" w:type="dxa"/>
            <w:tcBorders>
              <w:top w:val="nil"/>
              <w:left w:val="nil"/>
              <w:bottom w:val="single" w:color="auto" w:sz="4" w:space="0"/>
              <w:right w:val="single" w:color="auto" w:sz="4" w:space="0"/>
            </w:tcBorders>
            <w:shd w:val="clear" w:color="auto" w:fill="auto"/>
            <w:vAlign w:val="center"/>
          </w:tcPr>
          <w:p w14:paraId="53D4458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1.290E-01</w:t>
            </w:r>
          </w:p>
        </w:tc>
        <w:tc>
          <w:tcPr>
            <w:tcW w:w="1182" w:type="dxa"/>
            <w:tcBorders>
              <w:top w:val="nil"/>
              <w:left w:val="nil"/>
              <w:bottom w:val="single" w:color="auto" w:sz="4" w:space="0"/>
              <w:right w:val="single" w:color="auto" w:sz="4" w:space="0"/>
            </w:tcBorders>
            <w:shd w:val="clear" w:color="auto" w:fill="auto"/>
            <w:vAlign w:val="center"/>
          </w:tcPr>
          <w:p w14:paraId="5A517F17">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7.937E-02</w:t>
            </w:r>
          </w:p>
        </w:tc>
        <w:tc>
          <w:tcPr>
            <w:tcW w:w="1182" w:type="dxa"/>
            <w:tcBorders>
              <w:top w:val="nil"/>
              <w:left w:val="nil"/>
              <w:bottom w:val="single" w:color="auto" w:sz="4" w:space="0"/>
              <w:right w:val="single" w:color="auto" w:sz="4" w:space="0"/>
            </w:tcBorders>
            <w:shd w:val="clear" w:color="auto" w:fill="auto"/>
            <w:vAlign w:val="center"/>
          </w:tcPr>
          <w:p w14:paraId="48ADEB32">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5.515E-02</w:t>
            </w:r>
          </w:p>
        </w:tc>
        <w:tc>
          <w:tcPr>
            <w:tcW w:w="1182" w:type="dxa"/>
            <w:tcBorders>
              <w:top w:val="nil"/>
              <w:left w:val="nil"/>
              <w:bottom w:val="single" w:color="auto" w:sz="4" w:space="0"/>
              <w:right w:val="single" w:color="auto" w:sz="4" w:space="0"/>
            </w:tcBorders>
            <w:shd w:val="clear" w:color="auto" w:fill="auto"/>
            <w:vAlign w:val="center"/>
          </w:tcPr>
          <w:p w14:paraId="0FE385C5">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1.472E-02</w:t>
            </w:r>
          </w:p>
        </w:tc>
        <w:tc>
          <w:tcPr>
            <w:tcW w:w="1183" w:type="dxa"/>
            <w:tcBorders>
              <w:top w:val="nil"/>
              <w:left w:val="nil"/>
              <w:bottom w:val="single" w:color="auto" w:sz="4" w:space="0"/>
              <w:right w:val="single" w:color="auto" w:sz="4" w:space="0"/>
            </w:tcBorders>
            <w:shd w:val="clear" w:color="auto" w:fill="auto"/>
            <w:vAlign w:val="center"/>
          </w:tcPr>
          <w:p w14:paraId="7A9B538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6.872E-03</w:t>
            </w:r>
          </w:p>
        </w:tc>
      </w:tr>
      <w:tr w14:paraId="3074030E">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1C65120A">
            <w:pPr>
              <w:widowControl/>
              <w:jc w:val="center"/>
              <w:rPr>
                <w:rFonts w:hint="default" w:ascii="Times New Roman" w:hAnsi="Times New Roman" w:eastAsia="宋体" w:cs="Times New Roman"/>
                <w:b/>
                <w:bCs/>
                <w:kern w:val="0"/>
                <w:sz w:val="18"/>
                <w:szCs w:val="18"/>
                <w:lang w:eastAsia="zh-CN"/>
              </w:rPr>
            </w:pPr>
            <w:r>
              <w:rPr>
                <w:rFonts w:hint="default" w:ascii="Times New Roman" w:hAnsi="Times New Roman" w:eastAsia="宋体" w:cs="Times New Roman"/>
                <w:b/>
                <w:bCs/>
                <w:kern w:val="0"/>
                <w:sz w:val="18"/>
                <w:szCs w:val="18"/>
              </w:rPr>
              <w:t>重复性相对标准差</w:t>
            </w: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vertAlign w:val="subscript"/>
              </w:rPr>
              <w:t>jr</w:t>
            </w:r>
            <w:r>
              <w:rPr>
                <w:rFonts w:hint="default" w:ascii="Times New Roman" w:hAnsi="Times New Roman" w:eastAsia="宋体" w:cs="Times New Roman"/>
                <w:b/>
                <w:bCs/>
                <w:kern w:val="0"/>
                <w:sz w:val="18"/>
                <w:szCs w:val="18"/>
                <w:vertAlign w:val="baseline"/>
                <w:lang w:eastAsia="zh-CN"/>
              </w:rPr>
              <w:t>（</w:t>
            </w:r>
            <w:r>
              <w:rPr>
                <w:rFonts w:hint="default" w:ascii="Times New Roman" w:hAnsi="Times New Roman" w:eastAsia="宋体" w:cs="Times New Roman"/>
                <w:b/>
                <w:bCs/>
                <w:sz w:val="18"/>
                <w:szCs w:val="18"/>
              </w:rPr>
              <w:t>%</w:t>
            </w:r>
            <w:r>
              <w:rPr>
                <w:rFonts w:hint="default" w:ascii="Times New Roman" w:hAnsi="Times New Roman" w:eastAsia="宋体" w:cs="Times New Roman"/>
                <w:b/>
                <w:bCs/>
                <w:kern w:val="0"/>
                <w:sz w:val="18"/>
                <w:szCs w:val="18"/>
                <w:vertAlign w:val="baseline"/>
                <w:lang w:eastAsia="zh-CN"/>
              </w:rPr>
              <w:t>）</w:t>
            </w:r>
          </w:p>
        </w:tc>
        <w:tc>
          <w:tcPr>
            <w:tcW w:w="1182" w:type="dxa"/>
            <w:tcBorders>
              <w:top w:val="nil"/>
              <w:left w:val="nil"/>
              <w:bottom w:val="single" w:color="auto" w:sz="4" w:space="0"/>
              <w:right w:val="single" w:color="auto" w:sz="4" w:space="0"/>
            </w:tcBorders>
            <w:shd w:val="clear" w:color="auto" w:fill="auto"/>
            <w:vAlign w:val="center"/>
          </w:tcPr>
          <w:p w14:paraId="7D996E2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2.544</w:t>
            </w:r>
          </w:p>
        </w:tc>
        <w:tc>
          <w:tcPr>
            <w:tcW w:w="1182" w:type="dxa"/>
            <w:tcBorders>
              <w:top w:val="nil"/>
              <w:left w:val="nil"/>
              <w:bottom w:val="single" w:color="auto" w:sz="4" w:space="0"/>
              <w:right w:val="single" w:color="auto" w:sz="4" w:space="0"/>
            </w:tcBorders>
            <w:shd w:val="clear" w:color="auto" w:fill="auto"/>
            <w:vAlign w:val="center"/>
          </w:tcPr>
          <w:p w14:paraId="26A0284C">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2.588</w:t>
            </w:r>
          </w:p>
        </w:tc>
        <w:tc>
          <w:tcPr>
            <w:tcW w:w="1182" w:type="dxa"/>
            <w:tcBorders>
              <w:top w:val="nil"/>
              <w:left w:val="nil"/>
              <w:bottom w:val="single" w:color="auto" w:sz="4" w:space="0"/>
              <w:right w:val="single" w:color="auto" w:sz="4" w:space="0"/>
            </w:tcBorders>
            <w:shd w:val="clear" w:color="auto" w:fill="auto"/>
            <w:vAlign w:val="center"/>
          </w:tcPr>
          <w:p w14:paraId="0A93DFA9">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5.778</w:t>
            </w:r>
          </w:p>
        </w:tc>
        <w:tc>
          <w:tcPr>
            <w:tcW w:w="1182" w:type="dxa"/>
            <w:tcBorders>
              <w:top w:val="nil"/>
              <w:left w:val="nil"/>
              <w:bottom w:val="single" w:color="auto" w:sz="4" w:space="0"/>
              <w:right w:val="single" w:color="auto" w:sz="4" w:space="0"/>
            </w:tcBorders>
            <w:shd w:val="clear" w:color="auto" w:fill="auto"/>
            <w:vAlign w:val="center"/>
          </w:tcPr>
          <w:p w14:paraId="1AC3CC2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2.707</w:t>
            </w:r>
          </w:p>
        </w:tc>
        <w:tc>
          <w:tcPr>
            <w:tcW w:w="1183" w:type="dxa"/>
            <w:tcBorders>
              <w:top w:val="nil"/>
              <w:left w:val="nil"/>
              <w:bottom w:val="single" w:color="auto" w:sz="4" w:space="0"/>
              <w:right w:val="single" w:color="auto" w:sz="4" w:space="0"/>
            </w:tcBorders>
            <w:shd w:val="clear" w:color="auto" w:fill="auto"/>
            <w:vAlign w:val="center"/>
          </w:tcPr>
          <w:p w14:paraId="49656734">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6.417</w:t>
            </w:r>
          </w:p>
        </w:tc>
      </w:tr>
      <w:tr w14:paraId="1016FDC1">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747028EA">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再现性标准差</w:t>
            </w:r>
            <w:r>
              <w:rPr>
                <w:rFonts w:hint="default" w:ascii="Times New Roman" w:hAnsi="Times New Roman" w:eastAsia="宋体" w:cs="Times New Roman"/>
                <w:b/>
                <w:bCs/>
                <w:i/>
                <w:iCs/>
                <w:kern w:val="0"/>
                <w:sz w:val="18"/>
                <w:szCs w:val="18"/>
              </w:rPr>
              <w:t>s</w:t>
            </w:r>
            <w:r>
              <w:rPr>
                <w:rFonts w:hint="default" w:ascii="Times New Roman" w:hAnsi="Times New Roman" w:eastAsia="宋体" w:cs="Times New Roman"/>
                <w:b/>
                <w:bCs/>
                <w:kern w:val="0"/>
                <w:sz w:val="18"/>
                <w:szCs w:val="18"/>
                <w:vertAlign w:val="subscript"/>
              </w:rPr>
              <w:t>jR</w:t>
            </w:r>
          </w:p>
        </w:tc>
        <w:tc>
          <w:tcPr>
            <w:tcW w:w="1182" w:type="dxa"/>
            <w:tcBorders>
              <w:top w:val="nil"/>
              <w:left w:val="nil"/>
              <w:bottom w:val="single" w:color="auto" w:sz="4" w:space="0"/>
              <w:right w:val="single" w:color="auto" w:sz="4" w:space="0"/>
            </w:tcBorders>
            <w:shd w:val="clear" w:color="auto" w:fill="auto"/>
            <w:vAlign w:val="center"/>
          </w:tcPr>
          <w:p w14:paraId="2FF521CF">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4.717E-01</w:t>
            </w:r>
          </w:p>
        </w:tc>
        <w:tc>
          <w:tcPr>
            <w:tcW w:w="1182" w:type="dxa"/>
            <w:tcBorders>
              <w:top w:val="nil"/>
              <w:left w:val="nil"/>
              <w:bottom w:val="single" w:color="auto" w:sz="4" w:space="0"/>
              <w:right w:val="single" w:color="auto" w:sz="4" w:space="0"/>
            </w:tcBorders>
            <w:shd w:val="clear" w:color="auto" w:fill="auto"/>
            <w:vAlign w:val="center"/>
          </w:tcPr>
          <w:p w14:paraId="3F4D324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2.983E-01</w:t>
            </w:r>
          </w:p>
        </w:tc>
        <w:tc>
          <w:tcPr>
            <w:tcW w:w="1182" w:type="dxa"/>
            <w:tcBorders>
              <w:top w:val="nil"/>
              <w:left w:val="nil"/>
              <w:bottom w:val="single" w:color="auto" w:sz="4" w:space="0"/>
              <w:right w:val="single" w:color="auto" w:sz="4" w:space="0"/>
            </w:tcBorders>
            <w:shd w:val="clear" w:color="auto" w:fill="auto"/>
            <w:vAlign w:val="center"/>
          </w:tcPr>
          <w:p w14:paraId="401C1431">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9.071E-02</w:t>
            </w:r>
          </w:p>
        </w:tc>
        <w:tc>
          <w:tcPr>
            <w:tcW w:w="1182" w:type="dxa"/>
            <w:tcBorders>
              <w:top w:val="nil"/>
              <w:left w:val="nil"/>
              <w:bottom w:val="single" w:color="auto" w:sz="4" w:space="0"/>
              <w:right w:val="single" w:color="auto" w:sz="4" w:space="0"/>
            </w:tcBorders>
            <w:shd w:val="clear" w:color="auto" w:fill="auto"/>
            <w:vAlign w:val="center"/>
          </w:tcPr>
          <w:p w14:paraId="137BB8E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4.870E-02</w:t>
            </w:r>
          </w:p>
        </w:tc>
        <w:tc>
          <w:tcPr>
            <w:tcW w:w="1183" w:type="dxa"/>
            <w:tcBorders>
              <w:top w:val="nil"/>
              <w:left w:val="nil"/>
              <w:bottom w:val="single" w:color="auto" w:sz="4" w:space="0"/>
              <w:right w:val="single" w:color="auto" w:sz="4" w:space="0"/>
            </w:tcBorders>
            <w:shd w:val="clear" w:color="auto" w:fill="auto"/>
            <w:vAlign w:val="center"/>
          </w:tcPr>
          <w:p w14:paraId="0C618D0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8.234E-03</w:t>
            </w:r>
          </w:p>
        </w:tc>
      </w:tr>
      <w:tr w14:paraId="79A41143">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vAlign w:val="center"/>
          </w:tcPr>
          <w:p w14:paraId="33AFDAF5">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再现性相对标准差</w:t>
            </w: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vertAlign w:val="subscript"/>
              </w:rPr>
              <w:t>jR</w:t>
            </w:r>
            <w:r>
              <w:rPr>
                <w:rFonts w:hint="default" w:ascii="Times New Roman" w:hAnsi="Times New Roman" w:eastAsia="宋体" w:cs="Times New Roman"/>
                <w:b/>
                <w:bCs/>
                <w:kern w:val="0"/>
                <w:sz w:val="18"/>
                <w:szCs w:val="18"/>
                <w:vertAlign w:val="baseline"/>
                <w:lang w:eastAsia="zh-CN"/>
              </w:rPr>
              <w:t>（</w:t>
            </w:r>
            <w:r>
              <w:rPr>
                <w:rFonts w:hint="default" w:ascii="Times New Roman" w:hAnsi="Times New Roman" w:eastAsia="宋体" w:cs="Times New Roman"/>
                <w:b/>
                <w:bCs/>
                <w:sz w:val="18"/>
                <w:szCs w:val="18"/>
              </w:rPr>
              <w:t>%</w:t>
            </w:r>
            <w:r>
              <w:rPr>
                <w:rFonts w:hint="default" w:ascii="Times New Roman" w:hAnsi="Times New Roman" w:eastAsia="宋体" w:cs="Times New Roman"/>
                <w:b/>
                <w:bCs/>
                <w:kern w:val="0"/>
                <w:sz w:val="18"/>
                <w:szCs w:val="18"/>
                <w:vertAlign w:val="baseline"/>
                <w:lang w:eastAsia="zh-CN"/>
              </w:rPr>
              <w:t>）</w:t>
            </w:r>
          </w:p>
        </w:tc>
        <w:tc>
          <w:tcPr>
            <w:tcW w:w="1182" w:type="dxa"/>
            <w:tcBorders>
              <w:top w:val="nil"/>
              <w:left w:val="nil"/>
              <w:bottom w:val="single" w:color="auto" w:sz="4" w:space="0"/>
              <w:right w:val="single" w:color="auto" w:sz="4" w:space="0"/>
            </w:tcBorders>
            <w:shd w:val="clear" w:color="auto" w:fill="auto"/>
            <w:vAlign w:val="center"/>
          </w:tcPr>
          <w:p w14:paraId="07DB1A83">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9.305</w:t>
            </w:r>
          </w:p>
        </w:tc>
        <w:tc>
          <w:tcPr>
            <w:tcW w:w="1182" w:type="dxa"/>
            <w:tcBorders>
              <w:top w:val="nil"/>
              <w:left w:val="nil"/>
              <w:bottom w:val="single" w:color="auto" w:sz="4" w:space="0"/>
              <w:right w:val="single" w:color="auto" w:sz="4" w:space="0"/>
            </w:tcBorders>
            <w:shd w:val="clear" w:color="auto" w:fill="auto"/>
            <w:vAlign w:val="center"/>
          </w:tcPr>
          <w:p w14:paraId="4047BC4B">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9.727</w:t>
            </w:r>
          </w:p>
        </w:tc>
        <w:tc>
          <w:tcPr>
            <w:tcW w:w="1182" w:type="dxa"/>
            <w:tcBorders>
              <w:top w:val="nil"/>
              <w:left w:val="nil"/>
              <w:bottom w:val="single" w:color="auto" w:sz="4" w:space="0"/>
              <w:right w:val="single" w:color="auto" w:sz="4" w:space="0"/>
            </w:tcBorders>
            <w:shd w:val="clear" w:color="auto" w:fill="auto"/>
            <w:vAlign w:val="center"/>
          </w:tcPr>
          <w:p w14:paraId="7A4D5A6E">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9.502</w:t>
            </w:r>
          </w:p>
        </w:tc>
        <w:tc>
          <w:tcPr>
            <w:tcW w:w="1182" w:type="dxa"/>
            <w:tcBorders>
              <w:top w:val="nil"/>
              <w:left w:val="nil"/>
              <w:bottom w:val="single" w:color="auto" w:sz="4" w:space="0"/>
              <w:right w:val="single" w:color="auto" w:sz="4" w:space="0"/>
            </w:tcBorders>
            <w:shd w:val="clear" w:color="auto" w:fill="auto"/>
            <w:vAlign w:val="center"/>
          </w:tcPr>
          <w:p w14:paraId="58D500B0">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8.955</w:t>
            </w:r>
          </w:p>
        </w:tc>
        <w:tc>
          <w:tcPr>
            <w:tcW w:w="1183" w:type="dxa"/>
            <w:tcBorders>
              <w:top w:val="nil"/>
              <w:left w:val="nil"/>
              <w:bottom w:val="single" w:color="auto" w:sz="4" w:space="0"/>
              <w:right w:val="single" w:color="auto" w:sz="4" w:space="0"/>
            </w:tcBorders>
            <w:shd w:val="clear" w:color="auto" w:fill="auto"/>
            <w:vAlign w:val="center"/>
          </w:tcPr>
          <w:p w14:paraId="42C378C6">
            <w:pPr>
              <w:widowControl/>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7.689</w:t>
            </w:r>
          </w:p>
        </w:tc>
      </w:tr>
      <w:tr w14:paraId="380E2430">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tcPr>
          <w:p w14:paraId="24CF4F8B">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偏倚</w:t>
            </w:r>
            <w:r>
              <w:rPr>
                <w:rFonts w:hint="eastAsia" w:cs="Times New Roman"/>
                <w:b/>
                <w:bCs/>
                <w:i/>
                <w:iCs/>
                <w:kern w:val="0"/>
                <w:sz w:val="18"/>
                <w:szCs w:val="18"/>
                <w:lang w:eastAsia="zh-CN"/>
              </w:rPr>
              <w:t>bias</w:t>
            </w:r>
            <w:r>
              <w:rPr>
                <w:rFonts w:hint="default" w:ascii="Times New Roman" w:hAnsi="Times New Roman" w:eastAsia="宋体" w:cs="Times New Roman"/>
                <w:b/>
                <w:bCs/>
                <w:kern w:val="0"/>
                <w:sz w:val="18"/>
                <w:szCs w:val="18"/>
                <w:vertAlign w:val="subscript"/>
              </w:rPr>
              <w:t>j</w:t>
            </w:r>
          </w:p>
        </w:tc>
        <w:tc>
          <w:tcPr>
            <w:tcW w:w="1182" w:type="dxa"/>
            <w:tcBorders>
              <w:top w:val="nil"/>
              <w:left w:val="nil"/>
              <w:bottom w:val="single" w:color="auto" w:sz="4" w:space="0"/>
              <w:right w:val="single" w:color="auto" w:sz="4" w:space="0"/>
            </w:tcBorders>
            <w:shd w:val="clear" w:color="auto" w:fill="auto"/>
            <w:vAlign w:val="center"/>
          </w:tcPr>
          <w:p w14:paraId="16AE313D">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6.958E-02</w:t>
            </w:r>
          </w:p>
        </w:tc>
        <w:tc>
          <w:tcPr>
            <w:tcW w:w="1182" w:type="dxa"/>
            <w:tcBorders>
              <w:top w:val="nil"/>
              <w:left w:val="nil"/>
              <w:bottom w:val="single" w:color="auto" w:sz="4" w:space="0"/>
              <w:right w:val="single" w:color="auto" w:sz="4" w:space="0"/>
            </w:tcBorders>
            <w:shd w:val="clear" w:color="auto" w:fill="auto"/>
            <w:vAlign w:val="center"/>
          </w:tcPr>
          <w:p w14:paraId="544AE9D5">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6.667E-02</w:t>
            </w:r>
          </w:p>
        </w:tc>
        <w:tc>
          <w:tcPr>
            <w:tcW w:w="1182" w:type="dxa"/>
            <w:tcBorders>
              <w:top w:val="nil"/>
              <w:left w:val="nil"/>
              <w:bottom w:val="single" w:color="auto" w:sz="4" w:space="0"/>
              <w:right w:val="single" w:color="auto" w:sz="4" w:space="0"/>
            </w:tcBorders>
            <w:shd w:val="clear" w:color="auto" w:fill="auto"/>
            <w:vAlign w:val="center"/>
          </w:tcPr>
          <w:p w14:paraId="4A34957F">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-4.542E-02</w:t>
            </w:r>
          </w:p>
        </w:tc>
        <w:tc>
          <w:tcPr>
            <w:tcW w:w="1182" w:type="dxa"/>
            <w:tcBorders>
              <w:top w:val="nil"/>
              <w:left w:val="nil"/>
              <w:bottom w:val="single" w:color="auto" w:sz="4" w:space="0"/>
              <w:right w:val="single" w:color="auto" w:sz="4" w:space="0"/>
            </w:tcBorders>
            <w:shd w:val="clear" w:color="auto" w:fill="auto"/>
            <w:vAlign w:val="center"/>
          </w:tcPr>
          <w:p w14:paraId="741BED5F">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4.375E-02</w:t>
            </w:r>
          </w:p>
        </w:tc>
        <w:tc>
          <w:tcPr>
            <w:tcW w:w="1183" w:type="dxa"/>
            <w:tcBorders>
              <w:top w:val="nil"/>
              <w:left w:val="nil"/>
              <w:bottom w:val="single" w:color="auto" w:sz="4" w:space="0"/>
              <w:right w:val="single" w:color="auto" w:sz="4" w:space="0"/>
            </w:tcBorders>
            <w:shd w:val="clear" w:color="auto" w:fill="auto"/>
            <w:vAlign w:val="center"/>
          </w:tcPr>
          <w:p w14:paraId="3BBCD29D">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7.083E-03</w:t>
            </w:r>
          </w:p>
        </w:tc>
      </w:tr>
      <w:tr w14:paraId="29D3B4FF">
        <w:tblPrEx>
          <w:tblCellMar>
            <w:top w:w="0" w:type="dxa"/>
            <w:left w:w="108" w:type="dxa"/>
            <w:bottom w:w="0" w:type="dxa"/>
            <w:right w:w="108" w:type="dxa"/>
          </w:tblCellMar>
        </w:tblPrEx>
        <w:trPr>
          <w:trHeight w:val="340" w:hRule="atLeast"/>
          <w:jc w:val="center"/>
        </w:trPr>
        <w:tc>
          <w:tcPr>
            <w:tcW w:w="3085" w:type="dxa"/>
            <w:tcBorders>
              <w:top w:val="nil"/>
              <w:left w:val="single" w:color="auto" w:sz="4" w:space="0"/>
              <w:bottom w:val="single" w:color="auto" w:sz="4" w:space="0"/>
              <w:right w:val="single" w:color="auto" w:sz="4" w:space="0"/>
            </w:tcBorders>
          </w:tcPr>
          <w:p w14:paraId="570A24C7">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相对偏倚</w:t>
            </w:r>
            <w:r>
              <w:rPr>
                <w:rFonts w:hint="default" w:ascii="Times New Roman" w:hAnsi="Times New Roman" w:eastAsia="宋体" w:cs="Times New Roman"/>
                <w:b/>
                <w:bCs/>
                <w:sz w:val="18"/>
                <w:szCs w:val="18"/>
              </w:rPr>
              <w:fldChar w:fldCharType="begin"/>
            </w:r>
            <w:r>
              <w:rPr>
                <w:rFonts w:hint="default" w:ascii="Times New Roman" w:hAnsi="Times New Roman" w:eastAsia="宋体" w:cs="Times New Roman"/>
                <w:b/>
                <w:bCs/>
                <w:sz w:val="18"/>
                <w:szCs w:val="18"/>
              </w:rPr>
              <w:instrText xml:space="preserve"> QUOTE </w:instrText>
            </w:r>
            <w:r>
              <w:rPr>
                <w:rFonts w:hint="default" w:ascii="Times New Roman" w:hAnsi="Times New Roman" w:eastAsia="宋体" w:cs="Times New Roman"/>
                <w:b/>
                <w:bCs/>
                <w:position w:val="-15"/>
                <w:sz w:val="18"/>
                <w:szCs w:val="18"/>
              </w:rPr>
              <w:drawing>
                <wp:inline distT="0" distB="0" distL="114300" distR="114300">
                  <wp:extent cx="371475" cy="295275"/>
                  <wp:effectExtent l="0" t="0" r="9525" b="0"/>
                  <wp:docPr id="9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2"/>
                          <pic:cNvPicPr>
                            <a:picLocks noChangeAspect="1"/>
                          </pic:cNvPicPr>
                        </pic:nvPicPr>
                        <pic:blipFill>
                          <a:blip r:embed="rId47">
                            <a:clrChange>
                              <a:clrFrom>
                                <a:srgbClr val="FFFFFF"/>
                              </a:clrFrom>
                              <a:clrTo>
                                <a:srgbClr val="FFFFFF">
                                  <a:alpha val="0"/>
                                </a:srgbClr>
                              </a:clrTo>
                            </a:clrChange>
                            <a:lum/>
                          </a:blip>
                          <a:stretch>
                            <a:fillRect/>
                          </a:stretch>
                        </pic:blipFill>
                        <pic:spPr>
                          <a:xfrm>
                            <a:off x="0" y="0"/>
                            <a:ext cx="371475" cy="295275"/>
                          </a:xfrm>
                          <a:prstGeom prst="rect">
                            <a:avLst/>
                          </a:prstGeom>
                          <a:noFill/>
                          <a:ln>
                            <a:noFill/>
                          </a:ln>
                        </pic:spPr>
                      </pic:pic>
                    </a:graphicData>
                  </a:graphic>
                </wp:inline>
              </w:drawing>
            </w:r>
            <w:r>
              <w:rPr>
                <w:rFonts w:hint="default" w:ascii="Times New Roman" w:hAnsi="Times New Roman" w:eastAsia="宋体" w:cs="Times New Roman"/>
                <w:b/>
                <w:bCs/>
                <w:sz w:val="18"/>
                <w:szCs w:val="18"/>
              </w:rPr>
              <w:fldChar w:fldCharType="separate"/>
            </w:r>
            <w:r>
              <w:rPr>
                <w:rFonts w:hint="eastAsia" w:cs="Times New Roman"/>
                <w:b/>
                <w:bCs/>
                <w:i/>
                <w:iCs/>
                <w:sz w:val="18"/>
                <w:szCs w:val="18"/>
                <w:lang w:eastAsia="zh-CN"/>
              </w:rPr>
              <w:t>bias</w:t>
            </w:r>
            <w:r>
              <w:rPr>
                <w:rFonts w:hint="default" w:ascii="Times New Roman" w:hAnsi="Times New Roman" w:eastAsia="宋体" w:cs="Times New Roman"/>
                <w:b/>
                <w:bCs/>
                <w:i/>
                <w:iCs/>
                <w:sz w:val="18"/>
                <w:szCs w:val="18"/>
              </w:rPr>
              <w:t>R</w:t>
            </w:r>
            <w:r>
              <w:rPr>
                <w:rFonts w:hint="default" w:ascii="Times New Roman" w:hAnsi="Times New Roman" w:eastAsia="宋体" w:cs="Times New Roman"/>
                <w:b/>
                <w:bCs/>
                <w:sz w:val="18"/>
                <w:szCs w:val="18"/>
                <w:vertAlign w:val="subscript"/>
              </w:rPr>
              <w:t>j</w:t>
            </w:r>
            <w:r>
              <w:rPr>
                <w:rFonts w:hint="default" w:ascii="Times New Roman" w:hAnsi="Times New Roman" w:eastAsia="宋体" w:cs="Times New Roman"/>
                <w:b/>
                <w:bCs/>
                <w:sz w:val="18"/>
                <w:szCs w:val="18"/>
              </w:rPr>
              <w:fldChar w:fldCharType="end"/>
            </w:r>
            <w:r>
              <w:rPr>
                <w:rFonts w:hint="default" w:ascii="Times New Roman" w:hAnsi="Times New Roman" w:eastAsia="宋体" w:cs="Times New Roman"/>
                <w:b/>
                <w:bCs/>
                <w:sz w:val="18"/>
                <w:szCs w:val="18"/>
              </w:rPr>
              <w:t>（%）</w:t>
            </w:r>
          </w:p>
        </w:tc>
        <w:tc>
          <w:tcPr>
            <w:tcW w:w="1182" w:type="dxa"/>
            <w:tcBorders>
              <w:top w:val="nil"/>
              <w:left w:val="nil"/>
              <w:bottom w:val="single" w:color="auto" w:sz="4" w:space="0"/>
              <w:right w:val="single" w:color="auto" w:sz="4" w:space="0"/>
            </w:tcBorders>
            <w:shd w:val="clear" w:color="auto" w:fill="auto"/>
            <w:vAlign w:val="center"/>
          </w:tcPr>
          <w:p w14:paraId="619792B1">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1.392</w:t>
            </w:r>
          </w:p>
        </w:tc>
        <w:tc>
          <w:tcPr>
            <w:tcW w:w="1182" w:type="dxa"/>
            <w:tcBorders>
              <w:top w:val="nil"/>
              <w:left w:val="nil"/>
              <w:bottom w:val="single" w:color="auto" w:sz="4" w:space="0"/>
              <w:right w:val="single" w:color="auto" w:sz="4" w:space="0"/>
            </w:tcBorders>
            <w:shd w:val="clear" w:color="auto" w:fill="auto"/>
            <w:vAlign w:val="center"/>
          </w:tcPr>
          <w:p w14:paraId="17C6E568">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2.222</w:t>
            </w:r>
          </w:p>
        </w:tc>
        <w:tc>
          <w:tcPr>
            <w:tcW w:w="1182" w:type="dxa"/>
            <w:tcBorders>
              <w:top w:val="nil"/>
              <w:left w:val="nil"/>
              <w:bottom w:val="single" w:color="auto" w:sz="4" w:space="0"/>
              <w:right w:val="single" w:color="auto" w:sz="4" w:space="0"/>
            </w:tcBorders>
            <w:shd w:val="clear" w:color="auto" w:fill="auto"/>
            <w:vAlign w:val="center"/>
          </w:tcPr>
          <w:p w14:paraId="6AC6BF77">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-4.542</w:t>
            </w:r>
          </w:p>
        </w:tc>
        <w:tc>
          <w:tcPr>
            <w:tcW w:w="1182" w:type="dxa"/>
            <w:tcBorders>
              <w:top w:val="nil"/>
              <w:left w:val="nil"/>
              <w:bottom w:val="single" w:color="auto" w:sz="4" w:space="0"/>
              <w:right w:val="single" w:color="auto" w:sz="4" w:space="0"/>
            </w:tcBorders>
            <w:shd w:val="clear" w:color="auto" w:fill="auto"/>
            <w:vAlign w:val="center"/>
          </w:tcPr>
          <w:p w14:paraId="3C50B48C">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8.750</w:t>
            </w:r>
          </w:p>
        </w:tc>
        <w:tc>
          <w:tcPr>
            <w:tcW w:w="1183" w:type="dxa"/>
            <w:tcBorders>
              <w:top w:val="nil"/>
              <w:left w:val="nil"/>
              <w:bottom w:val="single" w:color="auto" w:sz="4" w:space="0"/>
              <w:right w:val="single" w:color="auto" w:sz="4" w:space="0"/>
            </w:tcBorders>
            <w:shd w:val="clear" w:color="auto" w:fill="auto"/>
            <w:vAlign w:val="center"/>
          </w:tcPr>
          <w:p w14:paraId="29AF3E3E">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7.083</w:t>
            </w:r>
          </w:p>
        </w:tc>
      </w:tr>
    </w:tbl>
    <w:p w14:paraId="3BCF2C44">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highlight w:val="none"/>
          <w:lang w:val="en-US" w:eastAsia="zh-CN" w:bidi="ar-SA"/>
        </w:rPr>
      </w:pPr>
      <w:r>
        <w:rPr>
          <w:rFonts w:hint="default" w:ascii="Times New Roman" w:hAnsi="Times New Roman" w:eastAsia="黑体" w:cs="Calibri"/>
          <w:b w:val="0"/>
          <w:bCs/>
          <w:kern w:val="2"/>
          <w:sz w:val="21"/>
          <w:szCs w:val="28"/>
          <w:highlight w:val="none"/>
          <w:lang w:val="en-US" w:eastAsia="zh-CN" w:bidi="ar-SA"/>
        </w:rPr>
        <w:t>2.4 检测限（LOD）的验证</w:t>
      </w:r>
    </w:p>
    <w:p w14:paraId="0FE6B0C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eastAsia" w:cs="Times New Roman"/>
          <w:sz w:val="21"/>
          <w:szCs w:val="21"/>
          <w:lang w:eastAsia="zh-CN"/>
        </w:rPr>
        <w:t>QY2569-42</w:t>
      </w:r>
      <w:r>
        <w:rPr>
          <w:rFonts w:hint="default" w:ascii="Times New Roman" w:hAnsi="Times New Roman" w:eastAsia="宋体" w:cs="Times New Roman"/>
          <w:sz w:val="21"/>
          <w:szCs w:val="21"/>
        </w:rPr>
        <w:t>转化体特异性荧光定量PCR方法的检出限同</w:t>
      </w:r>
      <w:r>
        <w:rPr>
          <w:rFonts w:hint="eastAsia" w:cs="Times New Roman"/>
          <w:sz w:val="21"/>
          <w:szCs w:val="21"/>
          <w:lang w:eastAsia="zh-CN"/>
        </w:rPr>
        <w:t>方法一中</w:t>
      </w:r>
      <w:r>
        <w:rPr>
          <w:rFonts w:hint="default" w:ascii="Times New Roman" w:hAnsi="Times New Roman" w:eastAsia="宋体" w:cs="Times New Roman"/>
          <w:sz w:val="21"/>
          <w:szCs w:val="21"/>
        </w:rPr>
        <w:t>荧光PCR定性</w:t>
      </w:r>
      <w:r>
        <w:rPr>
          <w:rFonts w:hint="eastAsia" w:cs="Times New Roman"/>
          <w:sz w:val="21"/>
          <w:szCs w:val="21"/>
          <w:lang w:eastAsia="zh-CN"/>
        </w:rPr>
        <w:t>检测</w:t>
      </w:r>
      <w:r>
        <w:rPr>
          <w:rFonts w:hint="default" w:ascii="Times New Roman" w:hAnsi="Times New Roman" w:eastAsia="宋体" w:cs="Times New Roman"/>
          <w:sz w:val="21"/>
          <w:szCs w:val="21"/>
        </w:rPr>
        <w:t>方法</w:t>
      </w:r>
      <w:r>
        <w:rPr>
          <w:rFonts w:hint="eastAsia" w:cs="Times New Roman"/>
          <w:sz w:val="21"/>
          <w:szCs w:val="21"/>
          <w:lang w:eastAsia="zh-CN"/>
        </w:rPr>
        <w:t>的</w:t>
      </w:r>
      <w:r>
        <w:rPr>
          <w:rFonts w:hint="default" w:ascii="Times New Roman" w:hAnsi="Times New Roman" w:eastAsia="宋体" w:cs="Times New Roman"/>
          <w:sz w:val="21"/>
          <w:szCs w:val="21"/>
        </w:rPr>
        <w:t>检出限。</w:t>
      </w:r>
    </w:p>
    <w:p w14:paraId="5DDF7EB2">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highlight w:val="none"/>
          <w:lang w:val="en-US" w:eastAsia="zh-CN" w:bidi="ar-SA"/>
        </w:rPr>
      </w:pPr>
      <w:r>
        <w:rPr>
          <w:rFonts w:hint="default" w:ascii="Times New Roman" w:hAnsi="Times New Roman" w:eastAsia="黑体" w:cs="Calibri"/>
          <w:b w:val="0"/>
          <w:bCs/>
          <w:kern w:val="2"/>
          <w:sz w:val="21"/>
          <w:szCs w:val="28"/>
          <w:highlight w:val="none"/>
          <w:lang w:val="en-US" w:eastAsia="zh-CN" w:bidi="ar-SA"/>
        </w:rPr>
        <w:t>2.5 定量限（LOQ）的验证</w:t>
      </w:r>
    </w:p>
    <w:p w14:paraId="4219C6A6">
      <w:pPr>
        <w:spacing w:line="312" w:lineRule="auto"/>
        <w:ind w:firstLine="64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在建立方法过程中，确定抗虫耐除草剂玉米</w:t>
      </w:r>
      <w:r>
        <w:rPr>
          <w:rFonts w:hint="eastAsia" w:cs="Times New Roman"/>
          <w:sz w:val="21"/>
          <w:szCs w:val="21"/>
          <w:lang w:eastAsia="zh-CN"/>
        </w:rPr>
        <w:t>QY2569-42</w:t>
      </w:r>
      <w:r>
        <w:rPr>
          <w:rFonts w:hint="default" w:ascii="Times New Roman" w:hAnsi="Times New Roman" w:eastAsia="宋体" w:cs="Times New Roman"/>
          <w:sz w:val="21"/>
          <w:szCs w:val="21"/>
        </w:rPr>
        <w:t>转化体特异性荧光定量PCR方法的定量限LOQ可达到0.1%，以100 ng初始DNA模板计，相当于反应体系中含有40拷贝的</w:t>
      </w:r>
      <w:r>
        <w:rPr>
          <w:rFonts w:hint="eastAsia" w:cs="Times New Roman"/>
          <w:sz w:val="21"/>
          <w:szCs w:val="21"/>
          <w:lang w:eastAsia="zh-CN"/>
        </w:rPr>
        <w:t>QY2569-42</w:t>
      </w:r>
      <w:r>
        <w:rPr>
          <w:rFonts w:hint="default" w:ascii="Times New Roman" w:hAnsi="Times New Roman" w:eastAsia="宋体" w:cs="Times New Roman"/>
          <w:sz w:val="21"/>
          <w:szCs w:val="21"/>
        </w:rPr>
        <w:t>转化体特异性序列。在多个实验室循环验证样品中包含了转基因含量为0.1%的定量限样品（LOQ样品），多个实验室按标准方法在PCR反应体系中加入100 ng DNA模板进行定量检测。结果显示8个实验室的LOQ样品百分含量测量值的平均值在0.0</w:t>
      </w:r>
      <w:r>
        <w:rPr>
          <w:rFonts w:hint="eastAsia" w:cs="Times New Roman"/>
          <w:sz w:val="21"/>
          <w:szCs w:val="21"/>
          <w:lang w:val="en-US" w:eastAsia="zh-CN"/>
        </w:rPr>
        <w:t>97</w:t>
      </w:r>
      <w:r>
        <w:rPr>
          <w:rFonts w:hint="default" w:ascii="Times New Roman" w:hAnsi="Times New Roman" w:eastAsia="宋体" w:cs="Times New Roman"/>
          <w:sz w:val="21"/>
          <w:szCs w:val="21"/>
        </w:rPr>
        <w:t>%～0.1</w:t>
      </w:r>
      <w:r>
        <w:rPr>
          <w:rFonts w:hint="eastAsia" w:cs="Times New Roman"/>
          <w:sz w:val="21"/>
          <w:szCs w:val="21"/>
          <w:lang w:val="en-US" w:eastAsia="zh-CN"/>
        </w:rPr>
        <w:t>1</w:t>
      </w:r>
      <w:r>
        <w:rPr>
          <w:rFonts w:hint="default" w:ascii="Times New Roman" w:hAnsi="Times New Roman" w:eastAsia="宋体" w:cs="Times New Roman"/>
          <w:sz w:val="21"/>
          <w:szCs w:val="21"/>
        </w:rPr>
        <w:t>7%之间，总平均值为0.</w:t>
      </w:r>
      <w:r>
        <w:rPr>
          <w:rFonts w:hint="eastAsia" w:cs="Times New Roman"/>
          <w:sz w:val="21"/>
          <w:szCs w:val="21"/>
          <w:lang w:val="en-US" w:eastAsia="zh-CN"/>
        </w:rPr>
        <w:t>107</w:t>
      </w:r>
      <w:r>
        <w:rPr>
          <w:rFonts w:hint="default" w:ascii="Times New Roman" w:hAnsi="Times New Roman" w:eastAsia="宋体" w:cs="Times New Roman"/>
          <w:sz w:val="21"/>
          <w:szCs w:val="21"/>
        </w:rPr>
        <w:t>%，实验室内相对标准差、重复性相对标准差、再现性相对标准差均小于25%，测量总平均值相对偏倚</w:t>
      </w:r>
      <w:r>
        <w:rPr>
          <w:rFonts w:hint="eastAsia" w:cs="Times New Roman"/>
          <w:sz w:val="21"/>
          <w:szCs w:val="21"/>
          <w:lang w:val="en-US" w:eastAsia="zh-CN"/>
        </w:rPr>
        <w:t>7.083</w:t>
      </w:r>
      <w:r>
        <w:rPr>
          <w:rFonts w:hint="default" w:ascii="Times New Roman" w:hAnsi="Times New Roman" w:eastAsia="宋体" w:cs="Times New Roman"/>
          <w:sz w:val="21"/>
          <w:szCs w:val="21"/>
        </w:rPr>
        <w:t>%，位于±25%范围内（</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14）。定量限样品的联合验证结果表明测量结果的准确度满足转基因定量检测方法的准确性目标，证明本方法的定量检测极限不高于0.1%（约40拷贝</w:t>
      </w:r>
      <w:r>
        <w:rPr>
          <w:rFonts w:hint="eastAsia" w:cs="Times New Roman"/>
          <w:sz w:val="21"/>
          <w:szCs w:val="21"/>
          <w:lang w:eastAsia="zh-CN"/>
        </w:rPr>
        <w:t>QY2569-42</w:t>
      </w:r>
      <w:r>
        <w:rPr>
          <w:rFonts w:hint="default" w:ascii="Times New Roman" w:hAnsi="Times New Roman" w:eastAsia="宋体" w:cs="Times New Roman"/>
          <w:sz w:val="21"/>
          <w:szCs w:val="21"/>
        </w:rPr>
        <w:t>转化体特异性序列），与实验室内测试出的LOQ值相符。</w:t>
      </w:r>
    </w:p>
    <w:p w14:paraId="215BC970">
      <w:pPr>
        <w:pStyle w:val="8"/>
        <w:keepNext/>
        <w:bidi w:val="0"/>
        <w:spacing w:line="240" w:lineRule="auto"/>
        <w:ind w:firstLine="0" w:firstLineChars="0"/>
        <w:jc w:val="center"/>
        <w:rPr>
          <w:rFonts w:hint="default" w:ascii="Times New Roman" w:hAnsi="Times New Roman" w:eastAsia="黑体" w:cs="Calibri"/>
          <w:sz w:val="18"/>
          <w:szCs w:val="22"/>
          <w:highlight w:val="none"/>
          <w:lang w:val="en-US" w:eastAsia="zh-CN"/>
        </w:rPr>
      </w:pPr>
      <w:r>
        <w:rPr>
          <w:rFonts w:hint="eastAsia" w:ascii="Times New Roman" w:hAnsi="Times New Roman" w:eastAsia="黑体" w:cs="Calibri"/>
          <w:sz w:val="18"/>
          <w:szCs w:val="22"/>
          <w:highlight w:val="none"/>
          <w:lang w:val="en-US" w:eastAsia="zh-CN"/>
        </w:rPr>
        <w:t>表3-</w:t>
      </w:r>
      <w:r>
        <w:rPr>
          <w:rFonts w:hint="default" w:ascii="Times New Roman" w:hAnsi="Times New Roman" w:eastAsia="黑体" w:cs="Calibri"/>
          <w:sz w:val="18"/>
          <w:szCs w:val="22"/>
          <w:highlight w:val="none"/>
          <w:lang w:val="en-US" w:eastAsia="zh-CN"/>
        </w:rPr>
        <w:t>14 定量限样品测量结果统计分析</w:t>
      </w:r>
    </w:p>
    <w:tbl>
      <w:tblPr>
        <w:tblStyle w:val="16"/>
        <w:tblpPr w:leftFromText="180" w:rightFromText="180" w:vertAnchor="text" w:tblpX="1" w:tblpY="1"/>
        <w:tblOverlap w:val="never"/>
        <w:tblW w:w="8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9"/>
        <w:gridCol w:w="661"/>
        <w:gridCol w:w="661"/>
        <w:gridCol w:w="661"/>
        <w:gridCol w:w="661"/>
        <w:gridCol w:w="661"/>
        <w:gridCol w:w="661"/>
        <w:gridCol w:w="661"/>
        <w:gridCol w:w="665"/>
        <w:gridCol w:w="536"/>
        <w:gridCol w:w="654"/>
        <w:gridCol w:w="631"/>
        <w:gridCol w:w="526"/>
      </w:tblGrid>
      <w:tr w14:paraId="32CA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183F1A8">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子样个数</w:t>
            </w:r>
          </w:p>
        </w:tc>
        <w:tc>
          <w:tcPr>
            <w:tcW w:w="5292"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862231">
            <w:pPr>
              <w:widowControl/>
              <w:jc w:val="center"/>
              <w:textAlignment w:val="center"/>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kern w:val="0"/>
                <w:sz w:val="18"/>
                <w:szCs w:val="18"/>
              </w:rPr>
              <w:t>LOQ</w:t>
            </w:r>
            <w:r>
              <w:rPr>
                <w:rFonts w:hint="default" w:ascii="Times New Roman" w:hAnsi="Times New Roman" w:eastAsia="宋体" w:cs="Times New Roman"/>
                <w:b/>
                <w:bCs/>
                <w:sz w:val="18"/>
                <w:szCs w:val="18"/>
              </w:rPr>
              <w:t>样品百分含量测量值</w:t>
            </w:r>
            <w:r>
              <w:rPr>
                <w:rFonts w:hint="default" w:ascii="Times New Roman" w:hAnsi="Times New Roman" w:eastAsia="宋体" w:cs="Times New Roman"/>
                <w:b/>
                <w:bCs/>
                <w:sz w:val="18"/>
                <w:szCs w:val="18"/>
                <w:lang w:eastAsia="zh-CN"/>
              </w:rPr>
              <w:t>（</w:t>
            </w:r>
            <w:r>
              <w:rPr>
                <w:rFonts w:hint="default" w:ascii="Times New Roman" w:hAnsi="Times New Roman" w:eastAsia="宋体" w:cs="Times New Roman"/>
                <w:b/>
                <w:bCs/>
                <w:sz w:val="18"/>
                <w:szCs w:val="18"/>
              </w:rPr>
              <w:t>%</w:t>
            </w:r>
            <w:r>
              <w:rPr>
                <w:rFonts w:hint="default" w:ascii="Times New Roman" w:hAnsi="Times New Roman" w:eastAsia="宋体" w:cs="Times New Roman"/>
                <w:b/>
                <w:bCs/>
                <w:sz w:val="18"/>
                <w:szCs w:val="18"/>
                <w:lang w:eastAsia="zh-CN"/>
              </w:rPr>
              <w:t>）</w:t>
            </w:r>
          </w:p>
        </w:tc>
        <w:tc>
          <w:tcPr>
            <w:tcW w:w="536"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286FFBC">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mean</w:t>
            </w:r>
          </w:p>
        </w:tc>
        <w:tc>
          <w:tcPr>
            <w:tcW w:w="654"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D635428">
            <w:pPr>
              <w:widowControl/>
              <w:jc w:val="center"/>
              <w:textAlignment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rPr>
              <w:t>r</w:t>
            </w:r>
          </w:p>
          <w:p w14:paraId="1498AC36">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w:t>
            </w:r>
          </w:p>
        </w:tc>
        <w:tc>
          <w:tcPr>
            <w:tcW w:w="63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6BABAD4">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vertAlign w:val="subscript"/>
              </w:rPr>
              <w:t>R</w:t>
            </w:r>
            <w:r>
              <w:rPr>
                <w:rFonts w:hint="default" w:ascii="Times New Roman" w:hAnsi="Times New Roman" w:eastAsia="宋体" w:cs="Times New Roman"/>
                <w:b/>
                <w:bCs/>
                <w:kern w:val="0"/>
                <w:sz w:val="18"/>
                <w:szCs w:val="18"/>
              </w:rPr>
              <w:t>（%）</w:t>
            </w:r>
          </w:p>
        </w:tc>
        <w:tc>
          <w:tcPr>
            <w:tcW w:w="526" w:type="dxa"/>
            <w:vMerge w:val="restart"/>
            <w:tcBorders>
              <w:top w:val="single" w:color="auto" w:sz="4" w:space="0"/>
              <w:left w:val="single" w:color="auto" w:sz="4" w:space="0"/>
              <w:right w:val="single" w:color="auto" w:sz="4" w:space="0"/>
            </w:tcBorders>
          </w:tcPr>
          <w:p w14:paraId="02265907">
            <w:pPr>
              <w:widowControl/>
              <w:jc w:val="center"/>
              <w:textAlignment w:val="center"/>
              <w:rPr>
                <w:rFonts w:hint="default" w:ascii="Times New Roman" w:hAnsi="Times New Roman" w:eastAsia="宋体" w:cs="Times New Roman"/>
                <w:b/>
                <w:bCs/>
                <w:kern w:val="0"/>
                <w:sz w:val="18"/>
                <w:szCs w:val="18"/>
              </w:rPr>
            </w:pPr>
            <w:r>
              <w:rPr>
                <w:rFonts w:hint="eastAsia" w:cs="Times New Roman"/>
                <w:b/>
                <w:bCs/>
                <w:i/>
                <w:iCs/>
                <w:kern w:val="0"/>
                <w:sz w:val="18"/>
                <w:szCs w:val="18"/>
                <w:lang w:eastAsia="zh-CN"/>
              </w:rPr>
              <w:t>bias</w:t>
            </w:r>
            <w:r>
              <w:rPr>
                <w:rFonts w:hint="default" w:ascii="Times New Roman" w:hAnsi="Times New Roman" w:eastAsia="宋体" w:cs="Times New Roman"/>
                <w:b/>
                <w:bCs/>
                <w:kern w:val="0"/>
                <w:sz w:val="18"/>
                <w:szCs w:val="18"/>
              </w:rPr>
              <w:t>（%）</w:t>
            </w:r>
          </w:p>
        </w:tc>
      </w:tr>
      <w:tr w14:paraId="1F7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vMerge w:val="continue"/>
            <w:tcBorders>
              <w:top w:val="single" w:color="auto" w:sz="4" w:space="0"/>
              <w:left w:val="single" w:color="auto" w:sz="4" w:space="0"/>
              <w:bottom w:val="single" w:color="auto" w:sz="4" w:space="0"/>
              <w:right w:val="single" w:color="auto" w:sz="4" w:space="0"/>
            </w:tcBorders>
            <w:vAlign w:val="center"/>
          </w:tcPr>
          <w:p w14:paraId="217DD6B8">
            <w:pPr>
              <w:widowControl/>
              <w:jc w:val="center"/>
              <w:textAlignment w:val="center"/>
              <w:rPr>
                <w:rFonts w:hint="default" w:ascii="Times New Roman" w:hAnsi="Times New Roman" w:eastAsia="宋体" w:cs="Times New Roman"/>
                <w:b/>
                <w:bCs/>
                <w:sz w:val="18"/>
                <w:szCs w:val="18"/>
              </w:rPr>
            </w:pP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6592464">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Lab1</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A7C7BD3">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Lab2</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E989BA9">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Lab3</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A2476C8">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Lab4</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11853A0">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Lab5</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9B37D37">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Lab6</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4385E8D">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Lab7</w:t>
            </w:r>
          </w:p>
        </w:tc>
        <w:tc>
          <w:tcPr>
            <w:tcW w:w="6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F73D742">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Lab8</w:t>
            </w:r>
          </w:p>
        </w:tc>
        <w:tc>
          <w:tcPr>
            <w:tcW w:w="536" w:type="dxa"/>
            <w:vMerge w:val="continue"/>
            <w:tcBorders>
              <w:top w:val="single" w:color="auto" w:sz="4" w:space="0"/>
              <w:left w:val="single" w:color="auto" w:sz="4" w:space="0"/>
              <w:bottom w:val="single" w:color="auto" w:sz="4" w:space="0"/>
              <w:right w:val="single" w:color="auto" w:sz="4" w:space="0"/>
            </w:tcBorders>
            <w:vAlign w:val="center"/>
          </w:tcPr>
          <w:p w14:paraId="2AD9D8E4">
            <w:pPr>
              <w:widowControl/>
              <w:jc w:val="left"/>
              <w:rPr>
                <w:rFonts w:hint="default" w:ascii="Times New Roman" w:hAnsi="Times New Roman" w:eastAsia="宋体" w:cs="Times New Roman"/>
                <w:b/>
                <w:bCs/>
                <w:sz w:val="18"/>
                <w:szCs w:val="18"/>
              </w:rPr>
            </w:pPr>
          </w:p>
        </w:tc>
        <w:tc>
          <w:tcPr>
            <w:tcW w:w="654" w:type="dxa"/>
            <w:vMerge w:val="continue"/>
            <w:tcBorders>
              <w:top w:val="single" w:color="auto" w:sz="4" w:space="0"/>
              <w:left w:val="single" w:color="auto" w:sz="4" w:space="0"/>
              <w:bottom w:val="single" w:color="auto" w:sz="4" w:space="0"/>
              <w:right w:val="single" w:color="auto" w:sz="4" w:space="0"/>
            </w:tcBorders>
            <w:vAlign w:val="center"/>
          </w:tcPr>
          <w:p w14:paraId="4B648A19">
            <w:pPr>
              <w:widowControl/>
              <w:jc w:val="left"/>
              <w:rPr>
                <w:rFonts w:hint="default" w:ascii="Times New Roman" w:hAnsi="Times New Roman" w:eastAsia="宋体" w:cs="Times New Roman"/>
                <w:b/>
                <w:bCs/>
                <w:sz w:val="18"/>
                <w:szCs w:val="18"/>
              </w:rPr>
            </w:pPr>
          </w:p>
        </w:tc>
        <w:tc>
          <w:tcPr>
            <w:tcW w:w="631" w:type="dxa"/>
            <w:vMerge w:val="continue"/>
            <w:tcBorders>
              <w:top w:val="single" w:color="auto" w:sz="4" w:space="0"/>
              <w:left w:val="single" w:color="auto" w:sz="4" w:space="0"/>
              <w:bottom w:val="single" w:color="auto" w:sz="4" w:space="0"/>
              <w:right w:val="single" w:color="auto" w:sz="4" w:space="0"/>
            </w:tcBorders>
            <w:vAlign w:val="center"/>
          </w:tcPr>
          <w:p w14:paraId="1EBA6933">
            <w:pPr>
              <w:widowControl/>
              <w:jc w:val="left"/>
              <w:rPr>
                <w:rFonts w:hint="default" w:ascii="Times New Roman" w:hAnsi="Times New Roman" w:eastAsia="宋体" w:cs="Times New Roman"/>
                <w:b/>
                <w:bCs/>
                <w:sz w:val="18"/>
                <w:szCs w:val="18"/>
              </w:rPr>
            </w:pPr>
          </w:p>
        </w:tc>
        <w:tc>
          <w:tcPr>
            <w:tcW w:w="526" w:type="dxa"/>
            <w:vMerge w:val="continue"/>
            <w:tcBorders>
              <w:left w:val="single" w:color="auto" w:sz="4" w:space="0"/>
              <w:bottom w:val="single" w:color="auto" w:sz="4" w:space="0"/>
              <w:right w:val="single" w:color="auto" w:sz="4" w:space="0"/>
            </w:tcBorders>
          </w:tcPr>
          <w:p w14:paraId="75D24E44">
            <w:pPr>
              <w:widowControl/>
              <w:jc w:val="left"/>
              <w:rPr>
                <w:rFonts w:hint="default" w:ascii="Times New Roman" w:hAnsi="Times New Roman" w:eastAsia="宋体" w:cs="Times New Roman"/>
                <w:b/>
                <w:bCs/>
                <w:sz w:val="18"/>
                <w:szCs w:val="18"/>
              </w:rPr>
            </w:pPr>
          </w:p>
        </w:tc>
      </w:tr>
      <w:tr w14:paraId="5279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7D391D7">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子样1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85DA4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6B554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021B8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0.09</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9CFF3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5AA1C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D9A3F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3820B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69D6C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0.09</w:t>
            </w:r>
          </w:p>
        </w:tc>
        <w:tc>
          <w:tcPr>
            <w:tcW w:w="536" w:type="dxa"/>
            <w:vMerge w:val="restart"/>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076269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0.107</w:t>
            </w:r>
          </w:p>
        </w:tc>
        <w:tc>
          <w:tcPr>
            <w:tcW w:w="654" w:type="dxa"/>
            <w:vMerge w:val="restart"/>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018FFC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6.417</w:t>
            </w:r>
          </w:p>
        </w:tc>
        <w:tc>
          <w:tcPr>
            <w:tcW w:w="631" w:type="dxa"/>
            <w:vMerge w:val="restart"/>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0E9A19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7.689</w:t>
            </w:r>
          </w:p>
        </w:tc>
        <w:tc>
          <w:tcPr>
            <w:tcW w:w="526" w:type="dxa"/>
            <w:vMerge w:val="restart"/>
            <w:tcBorders>
              <w:top w:val="single" w:color="auto" w:sz="4" w:space="0"/>
              <w:left w:val="single" w:color="auto" w:sz="4" w:space="0"/>
              <w:right w:val="single" w:color="auto" w:sz="4" w:space="0"/>
            </w:tcBorders>
            <w:shd w:val="clear" w:color="auto" w:fill="auto"/>
            <w:vAlign w:val="center"/>
          </w:tcPr>
          <w:p w14:paraId="655678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7.083</w:t>
            </w:r>
          </w:p>
        </w:tc>
      </w:tr>
      <w:tr w14:paraId="6F07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45EC370">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子样2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C69EE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CFA8F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7D550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0.09</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44B0B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6862D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C265C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99ABA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3A391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536" w:type="dxa"/>
            <w:vMerge w:val="continue"/>
            <w:tcBorders>
              <w:left w:val="single" w:color="auto" w:sz="4" w:space="0"/>
              <w:right w:val="single" w:color="auto" w:sz="4" w:space="0"/>
            </w:tcBorders>
            <w:tcMar>
              <w:top w:w="15" w:type="dxa"/>
              <w:left w:w="15" w:type="dxa"/>
              <w:bottom w:w="0" w:type="dxa"/>
              <w:right w:w="15" w:type="dxa"/>
            </w:tcMar>
            <w:vAlign w:val="center"/>
          </w:tcPr>
          <w:p w14:paraId="4AA83255">
            <w:pPr>
              <w:widowControl/>
              <w:jc w:val="center"/>
              <w:rPr>
                <w:rFonts w:hint="default" w:ascii="Times New Roman" w:hAnsi="Times New Roman" w:eastAsia="宋体" w:cs="Times New Roman"/>
                <w:szCs w:val="21"/>
              </w:rPr>
            </w:pPr>
          </w:p>
        </w:tc>
        <w:tc>
          <w:tcPr>
            <w:tcW w:w="654" w:type="dxa"/>
            <w:vMerge w:val="continue"/>
            <w:tcBorders>
              <w:left w:val="single" w:color="auto" w:sz="4" w:space="0"/>
              <w:right w:val="single" w:color="auto" w:sz="4" w:space="0"/>
            </w:tcBorders>
            <w:tcMar>
              <w:top w:w="15" w:type="dxa"/>
              <w:left w:w="15" w:type="dxa"/>
              <w:bottom w:w="0" w:type="dxa"/>
              <w:right w:w="15" w:type="dxa"/>
            </w:tcMar>
            <w:vAlign w:val="center"/>
          </w:tcPr>
          <w:p w14:paraId="7289796F">
            <w:pPr>
              <w:widowControl/>
              <w:jc w:val="center"/>
              <w:rPr>
                <w:rFonts w:hint="default" w:ascii="Times New Roman" w:hAnsi="Times New Roman" w:eastAsia="宋体" w:cs="Times New Roman"/>
                <w:szCs w:val="21"/>
              </w:rPr>
            </w:pPr>
          </w:p>
        </w:tc>
        <w:tc>
          <w:tcPr>
            <w:tcW w:w="631" w:type="dxa"/>
            <w:vMerge w:val="continue"/>
            <w:tcBorders>
              <w:left w:val="single" w:color="auto" w:sz="4" w:space="0"/>
              <w:right w:val="single" w:color="auto" w:sz="4" w:space="0"/>
            </w:tcBorders>
            <w:tcMar>
              <w:top w:w="15" w:type="dxa"/>
              <w:left w:w="15" w:type="dxa"/>
              <w:bottom w:w="0" w:type="dxa"/>
              <w:right w:w="15" w:type="dxa"/>
            </w:tcMar>
            <w:vAlign w:val="center"/>
          </w:tcPr>
          <w:p w14:paraId="26A6A13C">
            <w:pPr>
              <w:widowControl/>
              <w:jc w:val="center"/>
              <w:rPr>
                <w:rFonts w:hint="default" w:ascii="Times New Roman" w:hAnsi="Times New Roman" w:eastAsia="宋体" w:cs="Times New Roman"/>
                <w:szCs w:val="21"/>
              </w:rPr>
            </w:pPr>
          </w:p>
        </w:tc>
        <w:tc>
          <w:tcPr>
            <w:tcW w:w="526" w:type="dxa"/>
            <w:vMerge w:val="continue"/>
            <w:tcBorders>
              <w:left w:val="single" w:color="auto" w:sz="4" w:space="0"/>
              <w:right w:val="single" w:color="auto" w:sz="4" w:space="0"/>
            </w:tcBorders>
          </w:tcPr>
          <w:p w14:paraId="68368EAC">
            <w:pPr>
              <w:widowControl/>
              <w:jc w:val="center"/>
              <w:rPr>
                <w:rFonts w:hint="default" w:ascii="Times New Roman" w:hAnsi="Times New Roman" w:eastAsia="宋体" w:cs="Times New Roman"/>
                <w:szCs w:val="21"/>
              </w:rPr>
            </w:pPr>
          </w:p>
        </w:tc>
      </w:tr>
      <w:tr w14:paraId="37FF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50282CE">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子样3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B4E24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7CACB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AA063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08DE3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F5A56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9D28A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94CCC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30BA4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w:t>
            </w:r>
          </w:p>
        </w:tc>
        <w:tc>
          <w:tcPr>
            <w:tcW w:w="536" w:type="dxa"/>
            <w:vMerge w:val="continue"/>
            <w:tcBorders>
              <w:left w:val="single" w:color="auto" w:sz="4" w:space="0"/>
              <w:right w:val="single" w:color="auto" w:sz="4" w:space="0"/>
            </w:tcBorders>
            <w:tcMar>
              <w:top w:w="15" w:type="dxa"/>
              <w:left w:w="15" w:type="dxa"/>
              <w:bottom w:w="0" w:type="dxa"/>
              <w:right w:w="15" w:type="dxa"/>
            </w:tcMar>
            <w:vAlign w:val="center"/>
          </w:tcPr>
          <w:p w14:paraId="40524A71">
            <w:pPr>
              <w:widowControl/>
              <w:jc w:val="center"/>
              <w:rPr>
                <w:rFonts w:hint="default" w:ascii="Times New Roman" w:hAnsi="Times New Roman" w:eastAsia="宋体" w:cs="Times New Roman"/>
                <w:szCs w:val="21"/>
              </w:rPr>
            </w:pPr>
          </w:p>
        </w:tc>
        <w:tc>
          <w:tcPr>
            <w:tcW w:w="654" w:type="dxa"/>
            <w:vMerge w:val="continue"/>
            <w:tcBorders>
              <w:left w:val="single" w:color="auto" w:sz="4" w:space="0"/>
              <w:right w:val="single" w:color="auto" w:sz="4" w:space="0"/>
            </w:tcBorders>
            <w:tcMar>
              <w:top w:w="15" w:type="dxa"/>
              <w:left w:w="15" w:type="dxa"/>
              <w:bottom w:w="0" w:type="dxa"/>
              <w:right w:w="15" w:type="dxa"/>
            </w:tcMar>
            <w:vAlign w:val="center"/>
          </w:tcPr>
          <w:p w14:paraId="34A566FB">
            <w:pPr>
              <w:widowControl/>
              <w:jc w:val="center"/>
              <w:rPr>
                <w:rFonts w:hint="default" w:ascii="Times New Roman" w:hAnsi="Times New Roman" w:eastAsia="宋体" w:cs="Times New Roman"/>
                <w:szCs w:val="21"/>
              </w:rPr>
            </w:pPr>
          </w:p>
        </w:tc>
        <w:tc>
          <w:tcPr>
            <w:tcW w:w="631" w:type="dxa"/>
            <w:vMerge w:val="continue"/>
            <w:tcBorders>
              <w:left w:val="single" w:color="auto" w:sz="4" w:space="0"/>
              <w:right w:val="single" w:color="auto" w:sz="4" w:space="0"/>
            </w:tcBorders>
            <w:tcMar>
              <w:top w:w="15" w:type="dxa"/>
              <w:left w:w="15" w:type="dxa"/>
              <w:bottom w:w="0" w:type="dxa"/>
              <w:right w:w="15" w:type="dxa"/>
            </w:tcMar>
            <w:vAlign w:val="center"/>
          </w:tcPr>
          <w:p w14:paraId="75F5A18E">
            <w:pPr>
              <w:widowControl/>
              <w:jc w:val="center"/>
              <w:rPr>
                <w:rFonts w:hint="default" w:ascii="Times New Roman" w:hAnsi="Times New Roman" w:eastAsia="宋体" w:cs="Times New Roman"/>
                <w:szCs w:val="21"/>
              </w:rPr>
            </w:pPr>
          </w:p>
        </w:tc>
        <w:tc>
          <w:tcPr>
            <w:tcW w:w="526" w:type="dxa"/>
            <w:vMerge w:val="continue"/>
            <w:tcBorders>
              <w:left w:val="single" w:color="auto" w:sz="4" w:space="0"/>
              <w:right w:val="single" w:color="auto" w:sz="4" w:space="0"/>
            </w:tcBorders>
          </w:tcPr>
          <w:p w14:paraId="2EEA33FC">
            <w:pPr>
              <w:widowControl/>
              <w:jc w:val="center"/>
              <w:rPr>
                <w:rFonts w:hint="default" w:ascii="Times New Roman" w:hAnsi="Times New Roman" w:eastAsia="宋体" w:cs="Times New Roman"/>
                <w:szCs w:val="21"/>
              </w:rPr>
            </w:pPr>
          </w:p>
        </w:tc>
      </w:tr>
      <w:tr w14:paraId="0D1C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8D16F7">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mean</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5256B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A5277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723CF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0.097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9A1D5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0.113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F7757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B448F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DA95A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0.107</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D02E4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0.107</w:t>
            </w:r>
          </w:p>
        </w:tc>
        <w:tc>
          <w:tcPr>
            <w:tcW w:w="536" w:type="dxa"/>
            <w:vMerge w:val="continue"/>
            <w:tcBorders>
              <w:left w:val="single" w:color="auto" w:sz="4" w:space="0"/>
              <w:right w:val="single" w:color="auto" w:sz="4" w:space="0"/>
            </w:tcBorders>
            <w:tcMar>
              <w:top w:w="15" w:type="dxa"/>
              <w:left w:w="15" w:type="dxa"/>
              <w:bottom w:w="0" w:type="dxa"/>
              <w:right w:w="15" w:type="dxa"/>
            </w:tcMar>
          </w:tcPr>
          <w:p w14:paraId="1B8FFC9E">
            <w:pPr>
              <w:widowControl/>
              <w:jc w:val="center"/>
              <w:rPr>
                <w:rFonts w:hint="default" w:ascii="Times New Roman" w:hAnsi="Times New Roman" w:eastAsia="宋体" w:cs="Times New Roman"/>
                <w:szCs w:val="21"/>
              </w:rPr>
            </w:pPr>
          </w:p>
        </w:tc>
        <w:tc>
          <w:tcPr>
            <w:tcW w:w="654" w:type="dxa"/>
            <w:vMerge w:val="continue"/>
            <w:tcBorders>
              <w:left w:val="single" w:color="auto" w:sz="4" w:space="0"/>
              <w:right w:val="single" w:color="auto" w:sz="4" w:space="0"/>
            </w:tcBorders>
            <w:tcMar>
              <w:top w:w="15" w:type="dxa"/>
              <w:left w:w="15" w:type="dxa"/>
              <w:bottom w:w="0" w:type="dxa"/>
              <w:right w:w="15" w:type="dxa"/>
            </w:tcMar>
          </w:tcPr>
          <w:p w14:paraId="67375808">
            <w:pPr>
              <w:widowControl/>
              <w:jc w:val="center"/>
              <w:rPr>
                <w:rFonts w:hint="default" w:ascii="Times New Roman" w:hAnsi="Times New Roman" w:eastAsia="宋体" w:cs="Times New Roman"/>
                <w:szCs w:val="21"/>
              </w:rPr>
            </w:pPr>
          </w:p>
        </w:tc>
        <w:tc>
          <w:tcPr>
            <w:tcW w:w="631" w:type="dxa"/>
            <w:vMerge w:val="continue"/>
            <w:tcBorders>
              <w:left w:val="single" w:color="auto" w:sz="4" w:space="0"/>
              <w:right w:val="single" w:color="auto" w:sz="4" w:space="0"/>
            </w:tcBorders>
            <w:tcMar>
              <w:top w:w="15" w:type="dxa"/>
              <w:left w:w="15" w:type="dxa"/>
              <w:bottom w:w="0" w:type="dxa"/>
              <w:right w:w="15" w:type="dxa"/>
            </w:tcMar>
          </w:tcPr>
          <w:p w14:paraId="772F1A6C">
            <w:pPr>
              <w:widowControl/>
              <w:jc w:val="center"/>
              <w:rPr>
                <w:rFonts w:hint="default" w:ascii="Times New Roman" w:hAnsi="Times New Roman" w:eastAsia="宋体" w:cs="Times New Roman"/>
                <w:szCs w:val="21"/>
              </w:rPr>
            </w:pPr>
          </w:p>
        </w:tc>
        <w:tc>
          <w:tcPr>
            <w:tcW w:w="526" w:type="dxa"/>
            <w:vMerge w:val="continue"/>
            <w:tcBorders>
              <w:left w:val="single" w:color="auto" w:sz="4" w:space="0"/>
              <w:right w:val="single" w:color="auto" w:sz="4" w:space="0"/>
            </w:tcBorders>
          </w:tcPr>
          <w:p w14:paraId="0CC7CD1D">
            <w:pPr>
              <w:widowControl/>
              <w:jc w:val="center"/>
              <w:rPr>
                <w:rFonts w:hint="default" w:ascii="Times New Roman" w:hAnsi="Times New Roman" w:eastAsia="宋体" w:cs="Times New Roman"/>
                <w:szCs w:val="21"/>
              </w:rPr>
            </w:pPr>
          </w:p>
        </w:tc>
      </w:tr>
      <w:tr w14:paraId="5120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24B365">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s</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385BF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5.774E-03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6A372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5.774E-03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2B7BC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1.155E-02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037CD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5.774E-03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BD971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5.774E-03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6DEC8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5.774E-03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AFAB5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5.774E-03</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EC77A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1.528E-02</w:t>
            </w:r>
          </w:p>
        </w:tc>
        <w:tc>
          <w:tcPr>
            <w:tcW w:w="536" w:type="dxa"/>
            <w:vMerge w:val="continue"/>
            <w:tcBorders>
              <w:left w:val="single" w:color="auto" w:sz="4" w:space="0"/>
              <w:right w:val="single" w:color="auto" w:sz="4" w:space="0"/>
            </w:tcBorders>
            <w:tcMar>
              <w:top w:w="15" w:type="dxa"/>
              <w:left w:w="15" w:type="dxa"/>
              <w:bottom w:w="0" w:type="dxa"/>
              <w:right w:w="15" w:type="dxa"/>
            </w:tcMar>
          </w:tcPr>
          <w:p w14:paraId="5C2F66CD">
            <w:pPr>
              <w:widowControl/>
              <w:jc w:val="center"/>
              <w:rPr>
                <w:rFonts w:hint="default" w:ascii="Times New Roman" w:hAnsi="Times New Roman" w:eastAsia="宋体" w:cs="Times New Roman"/>
                <w:szCs w:val="21"/>
              </w:rPr>
            </w:pPr>
          </w:p>
        </w:tc>
        <w:tc>
          <w:tcPr>
            <w:tcW w:w="654" w:type="dxa"/>
            <w:vMerge w:val="continue"/>
            <w:tcBorders>
              <w:left w:val="single" w:color="auto" w:sz="4" w:space="0"/>
              <w:right w:val="single" w:color="auto" w:sz="4" w:space="0"/>
            </w:tcBorders>
            <w:tcMar>
              <w:top w:w="15" w:type="dxa"/>
              <w:left w:w="15" w:type="dxa"/>
              <w:bottom w:w="0" w:type="dxa"/>
              <w:right w:w="15" w:type="dxa"/>
            </w:tcMar>
          </w:tcPr>
          <w:p w14:paraId="43DF8F66">
            <w:pPr>
              <w:widowControl/>
              <w:jc w:val="center"/>
              <w:rPr>
                <w:rFonts w:hint="default" w:ascii="Times New Roman" w:hAnsi="Times New Roman" w:eastAsia="宋体" w:cs="Times New Roman"/>
                <w:szCs w:val="21"/>
              </w:rPr>
            </w:pPr>
          </w:p>
        </w:tc>
        <w:tc>
          <w:tcPr>
            <w:tcW w:w="631" w:type="dxa"/>
            <w:vMerge w:val="continue"/>
            <w:tcBorders>
              <w:left w:val="single" w:color="auto" w:sz="4" w:space="0"/>
              <w:right w:val="single" w:color="auto" w:sz="4" w:space="0"/>
            </w:tcBorders>
            <w:tcMar>
              <w:top w:w="15" w:type="dxa"/>
              <w:left w:w="15" w:type="dxa"/>
              <w:bottom w:w="0" w:type="dxa"/>
              <w:right w:w="15" w:type="dxa"/>
            </w:tcMar>
          </w:tcPr>
          <w:p w14:paraId="0A9C0F62">
            <w:pPr>
              <w:widowControl/>
              <w:jc w:val="center"/>
              <w:rPr>
                <w:rFonts w:hint="default" w:ascii="Times New Roman" w:hAnsi="Times New Roman" w:eastAsia="宋体" w:cs="Times New Roman"/>
                <w:szCs w:val="21"/>
              </w:rPr>
            </w:pPr>
          </w:p>
        </w:tc>
        <w:tc>
          <w:tcPr>
            <w:tcW w:w="526" w:type="dxa"/>
            <w:vMerge w:val="continue"/>
            <w:tcBorders>
              <w:left w:val="single" w:color="auto" w:sz="4" w:space="0"/>
              <w:right w:val="single" w:color="auto" w:sz="4" w:space="0"/>
            </w:tcBorders>
          </w:tcPr>
          <w:p w14:paraId="28C73053">
            <w:pPr>
              <w:widowControl/>
              <w:jc w:val="center"/>
              <w:rPr>
                <w:rFonts w:hint="default" w:ascii="Times New Roman" w:hAnsi="Times New Roman" w:eastAsia="宋体" w:cs="Times New Roman"/>
                <w:szCs w:val="21"/>
              </w:rPr>
            </w:pPr>
          </w:p>
        </w:tc>
      </w:tr>
      <w:tr w14:paraId="5AC1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2283CD6">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s</w:t>
            </w:r>
            <w:r>
              <w:rPr>
                <w:rFonts w:hint="default" w:ascii="Times New Roman" w:hAnsi="Times New Roman" w:eastAsia="宋体" w:cs="Times New Roman"/>
                <w:b/>
                <w:bCs/>
                <w:kern w:val="0"/>
                <w:sz w:val="18"/>
                <w:szCs w:val="18"/>
                <w:vertAlign w:val="subscript"/>
              </w:rPr>
              <w:t>r</w:t>
            </w:r>
            <w:r>
              <w:rPr>
                <w:rFonts w:hint="default" w:ascii="Times New Roman" w:hAnsi="Times New Roman" w:eastAsia="宋体" w:cs="Times New Roman"/>
                <w:b/>
                <w:bCs/>
                <w:kern w:val="0"/>
                <w:sz w:val="18"/>
                <w:szCs w:val="18"/>
              </w:rPr>
              <w:t>（%）</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215CB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5.587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5221D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4.949</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A838C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11.945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79D29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5.094</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991C3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5.413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4FDD4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5.413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91DEF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5.413</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E50BB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14.321</w:t>
            </w:r>
          </w:p>
        </w:tc>
        <w:tc>
          <w:tcPr>
            <w:tcW w:w="536" w:type="dxa"/>
            <w:vMerge w:val="continue"/>
            <w:tcBorders>
              <w:left w:val="single" w:color="auto" w:sz="4" w:space="0"/>
              <w:right w:val="single" w:color="auto" w:sz="4" w:space="0"/>
            </w:tcBorders>
            <w:tcMar>
              <w:top w:w="15" w:type="dxa"/>
              <w:left w:w="15" w:type="dxa"/>
              <w:bottom w:w="0" w:type="dxa"/>
              <w:right w:w="15" w:type="dxa"/>
            </w:tcMar>
          </w:tcPr>
          <w:p w14:paraId="72D3EF2D">
            <w:pPr>
              <w:widowControl/>
              <w:jc w:val="center"/>
              <w:rPr>
                <w:rFonts w:hint="default" w:ascii="Times New Roman" w:hAnsi="Times New Roman" w:eastAsia="宋体" w:cs="Times New Roman"/>
                <w:szCs w:val="21"/>
              </w:rPr>
            </w:pPr>
          </w:p>
        </w:tc>
        <w:tc>
          <w:tcPr>
            <w:tcW w:w="654" w:type="dxa"/>
            <w:vMerge w:val="continue"/>
            <w:tcBorders>
              <w:left w:val="single" w:color="auto" w:sz="4" w:space="0"/>
              <w:right w:val="single" w:color="auto" w:sz="4" w:space="0"/>
            </w:tcBorders>
            <w:tcMar>
              <w:top w:w="15" w:type="dxa"/>
              <w:left w:w="15" w:type="dxa"/>
              <w:bottom w:w="0" w:type="dxa"/>
              <w:right w:w="15" w:type="dxa"/>
            </w:tcMar>
          </w:tcPr>
          <w:p w14:paraId="4AFA4AD8">
            <w:pPr>
              <w:widowControl/>
              <w:jc w:val="center"/>
              <w:rPr>
                <w:rFonts w:hint="default" w:ascii="Times New Roman" w:hAnsi="Times New Roman" w:eastAsia="宋体" w:cs="Times New Roman"/>
                <w:szCs w:val="21"/>
              </w:rPr>
            </w:pPr>
          </w:p>
        </w:tc>
        <w:tc>
          <w:tcPr>
            <w:tcW w:w="631" w:type="dxa"/>
            <w:vMerge w:val="continue"/>
            <w:tcBorders>
              <w:left w:val="single" w:color="auto" w:sz="4" w:space="0"/>
              <w:right w:val="single" w:color="auto" w:sz="4" w:space="0"/>
            </w:tcBorders>
            <w:tcMar>
              <w:top w:w="15" w:type="dxa"/>
              <w:left w:w="15" w:type="dxa"/>
              <w:bottom w:w="0" w:type="dxa"/>
              <w:right w:w="15" w:type="dxa"/>
            </w:tcMar>
          </w:tcPr>
          <w:p w14:paraId="708E4233">
            <w:pPr>
              <w:widowControl/>
              <w:jc w:val="center"/>
              <w:rPr>
                <w:rFonts w:hint="default" w:ascii="Times New Roman" w:hAnsi="Times New Roman" w:eastAsia="宋体" w:cs="Times New Roman"/>
                <w:szCs w:val="21"/>
              </w:rPr>
            </w:pPr>
          </w:p>
        </w:tc>
        <w:tc>
          <w:tcPr>
            <w:tcW w:w="526" w:type="dxa"/>
            <w:vMerge w:val="continue"/>
            <w:tcBorders>
              <w:left w:val="single" w:color="auto" w:sz="4" w:space="0"/>
              <w:right w:val="single" w:color="auto" w:sz="4" w:space="0"/>
            </w:tcBorders>
          </w:tcPr>
          <w:p w14:paraId="1E5A67D3">
            <w:pPr>
              <w:widowControl/>
              <w:jc w:val="center"/>
              <w:rPr>
                <w:rFonts w:hint="default" w:ascii="Times New Roman" w:hAnsi="Times New Roman" w:eastAsia="宋体" w:cs="Times New Roman"/>
                <w:szCs w:val="21"/>
              </w:rPr>
            </w:pPr>
          </w:p>
        </w:tc>
      </w:tr>
    </w:tbl>
    <w:p w14:paraId="501156BE">
      <w:pPr>
        <w:widowControl/>
        <w:rPr>
          <w:rFonts w:hint="default" w:ascii="Times New Roman" w:hAnsi="Times New Roman" w:eastAsia="宋体" w:cs="Times New Roman"/>
          <w:sz w:val="18"/>
          <w:szCs w:val="18"/>
        </w:rPr>
      </w:pPr>
    </w:p>
    <w:p w14:paraId="4A009246">
      <w:pPr>
        <w:pStyle w:val="6"/>
        <w:keepNext/>
        <w:keepLines/>
        <w:pageBreakBefore w:val="0"/>
        <w:widowControl w:val="0"/>
        <w:kinsoku/>
        <w:wordWrap/>
        <w:overflowPunct/>
        <w:topLinePunct w:val="0"/>
        <w:autoSpaceDE/>
        <w:autoSpaceDN/>
        <w:bidi w:val="0"/>
        <w:adjustRightInd/>
        <w:snapToGrid/>
        <w:spacing w:line="377" w:lineRule="auto"/>
        <w:ind w:firstLine="420" w:firstLineChars="200"/>
        <w:textAlignment w:val="auto"/>
        <w:rPr>
          <w:rFonts w:hint="default" w:ascii="Times New Roman" w:hAnsi="Times New Roman" w:eastAsia="黑体" w:cs="Calibri"/>
          <w:b w:val="0"/>
          <w:bCs/>
          <w:kern w:val="2"/>
          <w:sz w:val="21"/>
          <w:szCs w:val="28"/>
          <w:highlight w:val="none"/>
          <w:lang w:val="en-US" w:eastAsia="zh-CN" w:bidi="ar-SA"/>
        </w:rPr>
      </w:pPr>
      <w:r>
        <w:rPr>
          <w:rFonts w:hint="default" w:ascii="Times New Roman" w:hAnsi="Times New Roman" w:eastAsia="黑体" w:cs="Calibri"/>
          <w:b w:val="0"/>
          <w:bCs/>
          <w:kern w:val="2"/>
          <w:sz w:val="21"/>
          <w:szCs w:val="28"/>
          <w:highlight w:val="none"/>
          <w:lang w:val="en-US" w:eastAsia="zh-CN" w:bidi="ar-SA"/>
        </w:rPr>
        <w:t>2.6 △△</w:t>
      </w:r>
      <w:r>
        <w:rPr>
          <w:rFonts w:hint="default" w:ascii="Times New Roman" w:hAnsi="Times New Roman" w:eastAsia="黑体" w:cs="Calibri"/>
          <w:b w:val="0"/>
          <w:bCs/>
          <w:i/>
          <w:iCs/>
          <w:kern w:val="2"/>
          <w:sz w:val="21"/>
          <w:szCs w:val="28"/>
          <w:highlight w:val="none"/>
          <w:lang w:val="en-US" w:eastAsia="zh-CN" w:bidi="ar-SA"/>
        </w:rPr>
        <w:t>Ct</w:t>
      </w:r>
      <w:r>
        <w:rPr>
          <w:rFonts w:hint="default" w:ascii="Times New Roman" w:hAnsi="Times New Roman" w:eastAsia="黑体" w:cs="Calibri"/>
          <w:b w:val="0"/>
          <w:bCs/>
          <w:kern w:val="2"/>
          <w:sz w:val="21"/>
          <w:szCs w:val="28"/>
          <w:highlight w:val="none"/>
          <w:lang w:val="en-US" w:eastAsia="zh-CN" w:bidi="ar-SA"/>
        </w:rPr>
        <w:t>值法判断样品中转基因成分含量</w:t>
      </w:r>
    </w:p>
    <w:p w14:paraId="4E3A9AF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sz w:val="32"/>
          <w:szCs w:val="32"/>
          <w:highlight w:val="none"/>
          <w:lang w:val="en-US" w:eastAsia="zh-CN"/>
        </w:rPr>
      </w:pPr>
      <w:r>
        <w:rPr>
          <w:rFonts w:hint="default" w:ascii="Times New Roman" w:hAnsi="Times New Roman" w:eastAsia="宋体" w:cs="Times New Roman"/>
          <w:bCs/>
          <w:sz w:val="21"/>
          <w:szCs w:val="21"/>
          <w:highlight w:val="none"/>
          <w:lang w:val="en-US" w:eastAsia="zh-CN"/>
        </w:rPr>
        <w:t>计算8个实验室对5个浓度含量样品和阳性定量质控品定值过程中的ΔΔ</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值。分别计算抗虫耐除草剂玉米</w:t>
      </w:r>
      <w:r>
        <w:rPr>
          <w:rFonts w:hint="eastAsia" w:cs="Times New Roman"/>
          <w:bCs/>
          <w:sz w:val="21"/>
          <w:szCs w:val="21"/>
          <w:highlight w:val="none"/>
          <w:lang w:val="en-US" w:eastAsia="zh-CN"/>
        </w:rPr>
        <w:t>QY2569-42</w:t>
      </w:r>
      <w:r>
        <w:rPr>
          <w:rFonts w:hint="default" w:ascii="Times New Roman" w:hAnsi="Times New Roman" w:eastAsia="宋体" w:cs="Times New Roman"/>
          <w:bCs/>
          <w:sz w:val="21"/>
          <w:szCs w:val="21"/>
          <w:highlight w:val="none"/>
          <w:lang w:val="en-US" w:eastAsia="zh-CN"/>
        </w:rPr>
        <w:t>转化体特异性序列平均</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值和内标准基因</w:t>
      </w:r>
      <w:r>
        <w:rPr>
          <w:rFonts w:hint="default" w:ascii="Times New Roman" w:hAnsi="Times New Roman" w:eastAsia="宋体" w:cs="Times New Roman"/>
          <w:bCs/>
          <w:i/>
          <w:iCs/>
          <w:sz w:val="21"/>
          <w:szCs w:val="21"/>
          <w:highlight w:val="none"/>
          <w:lang w:val="en-US" w:eastAsia="zh-CN"/>
        </w:rPr>
        <w:t>zSSIIb</w:t>
      </w:r>
      <w:r>
        <w:rPr>
          <w:rFonts w:hint="default" w:ascii="Times New Roman" w:hAnsi="Times New Roman" w:eastAsia="宋体" w:cs="Times New Roman"/>
          <w:bCs/>
          <w:sz w:val="21"/>
          <w:szCs w:val="21"/>
          <w:highlight w:val="none"/>
          <w:lang w:val="en-US" w:eastAsia="zh-CN"/>
        </w:rPr>
        <w:t>平均</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值的差值，获得Δ</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值，再计算试样的Δ</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值与阳性定量质控品的Δ</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值的差值，获得ΔΔ</w:t>
      </w:r>
      <w:r>
        <w:rPr>
          <w:rFonts w:hint="default" w:ascii="Times New Roman" w:hAnsi="Times New Roman" w:eastAsia="宋体" w:cs="Times New Roman"/>
          <w:bCs/>
          <w:i/>
          <w:iCs/>
          <w:sz w:val="21"/>
          <w:szCs w:val="21"/>
          <w:highlight w:val="none"/>
          <w:lang w:val="en-US" w:eastAsia="zh-CN"/>
        </w:rPr>
        <w:t>Ct</w:t>
      </w:r>
      <w:r>
        <w:rPr>
          <w:rFonts w:hint="default" w:ascii="Times New Roman" w:hAnsi="Times New Roman" w:eastAsia="宋体" w:cs="Times New Roman"/>
          <w:bCs/>
          <w:sz w:val="21"/>
          <w:szCs w:val="21"/>
          <w:highlight w:val="none"/>
          <w:lang w:val="en-US" w:eastAsia="zh-CN"/>
        </w:rPr>
        <w:t>值，汇总结果见</w:t>
      </w:r>
      <w:r>
        <w:rPr>
          <w:rFonts w:hint="eastAsia" w:cs="Times New Roman"/>
          <w:bCs/>
          <w:sz w:val="21"/>
          <w:szCs w:val="21"/>
          <w:highlight w:val="none"/>
          <w:lang w:val="en-US" w:eastAsia="zh-CN"/>
        </w:rPr>
        <w:t>表3-15</w:t>
      </w:r>
      <w:r>
        <w:rPr>
          <w:rFonts w:hint="default" w:ascii="Times New Roman" w:hAnsi="Times New Roman" w:eastAsia="宋体" w:cs="Times New Roman"/>
          <w:bCs/>
          <w:sz w:val="21"/>
          <w:szCs w:val="21"/>
          <w:highlight w:val="none"/>
          <w:lang w:val="en-US" w:eastAsia="zh-CN"/>
        </w:rPr>
        <w:t>。</w:t>
      </w:r>
    </w:p>
    <w:p w14:paraId="45040BF7">
      <w:pPr>
        <w:pStyle w:val="22"/>
        <w:spacing w:line="240" w:lineRule="auto"/>
        <w:jc w:val="center"/>
        <w:rPr>
          <w:rFonts w:hint="default" w:ascii="Times New Roman" w:hAnsi="Times New Roman" w:eastAsia="仿宋" w:cs="Times New Roman"/>
          <w:sz w:val="21"/>
          <w:szCs w:val="21"/>
          <w:highlight w:val="none"/>
          <w:lang w:val="en-US" w:eastAsia="zh-CN"/>
        </w:rPr>
      </w:pPr>
      <w:r>
        <w:rPr>
          <w:rFonts w:hint="eastAsia" w:ascii="Times New Roman" w:eastAsia="黑体" w:cs="Calibri"/>
          <w:kern w:val="2"/>
          <w:sz w:val="18"/>
          <w:szCs w:val="22"/>
          <w:lang w:val="en-US" w:eastAsia="zh-CN" w:bidi="ar-SA"/>
        </w:rPr>
        <w:t>表3-</w:t>
      </w:r>
      <w:r>
        <w:rPr>
          <w:rFonts w:hint="eastAsia" w:ascii="Times New Roman" w:hAnsi="Times New Roman" w:eastAsia="黑体" w:cs="Calibri"/>
          <w:kern w:val="2"/>
          <w:sz w:val="18"/>
          <w:szCs w:val="22"/>
          <w:lang w:val="en-US" w:eastAsia="zh-CN" w:bidi="ar-SA"/>
        </w:rPr>
        <w:t>1</w:t>
      </w:r>
      <w:r>
        <w:rPr>
          <w:rFonts w:hint="eastAsia" w:ascii="Times New Roman" w:eastAsia="黑体" w:cs="Calibri"/>
          <w:kern w:val="2"/>
          <w:sz w:val="18"/>
          <w:szCs w:val="22"/>
          <w:lang w:val="en-US" w:eastAsia="zh-CN" w:bidi="ar-SA"/>
        </w:rPr>
        <w:t>5</w:t>
      </w:r>
      <w:r>
        <w:rPr>
          <w:rFonts w:hint="default" w:ascii="Times New Roman" w:hAnsi="Times New Roman" w:eastAsia="黑体" w:cs="Calibri"/>
          <w:kern w:val="2"/>
          <w:sz w:val="18"/>
          <w:szCs w:val="22"/>
          <w:lang w:val="en-US" w:eastAsia="zh-CN" w:bidi="ar-SA"/>
        </w:rPr>
        <w:t xml:space="preserve"> </w:t>
      </w:r>
      <w:r>
        <w:rPr>
          <w:rFonts w:hint="eastAsia" w:ascii="Times New Roman" w:hAnsi="Times New Roman" w:eastAsia="黑体" w:cs="Calibri"/>
          <w:kern w:val="2"/>
          <w:sz w:val="18"/>
          <w:szCs w:val="22"/>
          <w:lang w:val="en-US" w:eastAsia="zh-CN" w:bidi="ar-SA"/>
        </w:rPr>
        <w:t>抗虫耐除草剂玉米</w:t>
      </w:r>
      <w:r>
        <w:rPr>
          <w:rFonts w:hint="eastAsia" w:ascii="Times New Roman" w:eastAsia="黑体" w:cs="Calibri"/>
          <w:kern w:val="2"/>
          <w:sz w:val="18"/>
          <w:szCs w:val="22"/>
          <w:lang w:val="en-US" w:eastAsia="zh-CN" w:bidi="ar-SA"/>
        </w:rPr>
        <w:t>QY2569-42</w:t>
      </w:r>
      <w:r>
        <w:rPr>
          <w:rFonts w:hint="default" w:ascii="Times New Roman" w:hAnsi="Times New Roman" w:eastAsia="黑体" w:cs="Calibri"/>
          <w:kern w:val="2"/>
          <w:sz w:val="18"/>
          <w:szCs w:val="22"/>
          <w:lang w:val="en-US" w:eastAsia="zh-CN" w:bidi="ar-SA"/>
        </w:rPr>
        <w:t>实验室联合验证数据ΔΔ</w:t>
      </w:r>
      <w:r>
        <w:rPr>
          <w:rFonts w:hint="default" w:ascii="Times New Roman" w:hAnsi="Times New Roman" w:eastAsia="黑体" w:cs="Calibri"/>
          <w:i/>
          <w:iCs/>
          <w:kern w:val="2"/>
          <w:sz w:val="18"/>
          <w:szCs w:val="22"/>
          <w:lang w:val="en-US" w:eastAsia="zh-CN" w:bidi="ar-SA"/>
        </w:rPr>
        <w:t>Ct</w:t>
      </w:r>
      <w:r>
        <w:rPr>
          <w:rFonts w:hint="eastAsia" w:ascii="Times New Roman" w:hAnsi="Times New Roman" w:eastAsia="黑体" w:cs="Calibri"/>
          <w:kern w:val="2"/>
          <w:sz w:val="18"/>
          <w:szCs w:val="22"/>
          <w:lang w:val="en-US" w:eastAsia="zh-CN" w:bidi="ar-SA"/>
        </w:rPr>
        <w:t>值</w:t>
      </w:r>
      <w:r>
        <w:rPr>
          <w:rFonts w:hint="default" w:ascii="Times New Roman" w:hAnsi="Times New Roman" w:eastAsia="黑体" w:cs="Calibri"/>
          <w:kern w:val="2"/>
          <w:sz w:val="18"/>
          <w:szCs w:val="22"/>
          <w:lang w:val="en-US" w:eastAsia="zh-CN" w:bidi="ar-SA"/>
        </w:rPr>
        <w:t>汇总分析</w:t>
      </w:r>
    </w:p>
    <w:tbl>
      <w:tblPr>
        <w:tblStyle w:val="16"/>
        <w:tblW w:w="6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58"/>
        <w:gridCol w:w="1080"/>
        <w:gridCol w:w="1080"/>
        <w:gridCol w:w="1080"/>
        <w:gridCol w:w="1080"/>
        <w:gridCol w:w="1080"/>
      </w:tblGrid>
      <w:tr w14:paraId="302F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558" w:type="dxa"/>
            <w:vMerge w:val="restart"/>
            <w:shd w:val="clear" w:color="auto" w:fill="auto"/>
            <w:noWrap/>
            <w:vAlign w:val="center"/>
          </w:tcPr>
          <w:p w14:paraId="0E4E7914">
            <w:pPr>
              <w:jc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w:t>
            </w:r>
          </w:p>
        </w:tc>
        <w:tc>
          <w:tcPr>
            <w:tcW w:w="5400" w:type="dxa"/>
            <w:gridSpan w:val="5"/>
            <w:shd w:val="clear" w:color="auto" w:fill="auto"/>
            <w:noWrap/>
            <w:vAlign w:val="center"/>
          </w:tcPr>
          <w:p w14:paraId="508832C8">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highlight w:val="none"/>
                <w:u w:val="none"/>
                <w:lang w:val="en-US" w:eastAsia="zh-CN" w:bidi="ar"/>
              </w:rPr>
            </w:pPr>
            <w:r>
              <w:rPr>
                <w:rFonts w:hint="default" w:ascii="Times New Roman" w:hAnsi="Times New Roman" w:eastAsia="宋体" w:cs="Times New Roman"/>
                <w:b/>
                <w:bCs/>
                <w:i w:val="0"/>
                <w:iCs w:val="0"/>
                <w:color w:val="000000"/>
                <w:kern w:val="0"/>
                <w:sz w:val="18"/>
                <w:szCs w:val="18"/>
                <w:highlight w:val="none"/>
                <w:u w:val="none"/>
                <w:lang w:val="en-US" w:eastAsia="zh-CN" w:bidi="ar"/>
              </w:rPr>
              <w:t>测试样品ΔΔ</w:t>
            </w:r>
            <w:r>
              <w:rPr>
                <w:rFonts w:hint="default" w:ascii="Times New Roman" w:hAnsi="Times New Roman" w:eastAsia="宋体" w:cs="Times New Roman"/>
                <w:b/>
                <w:bCs/>
                <w:i/>
                <w:iCs/>
                <w:color w:val="000000"/>
                <w:kern w:val="0"/>
                <w:sz w:val="18"/>
                <w:szCs w:val="18"/>
                <w:highlight w:val="none"/>
                <w:u w:val="none"/>
                <w:lang w:val="en-US" w:eastAsia="zh-CN" w:bidi="ar"/>
              </w:rPr>
              <w:t>Ct</w:t>
            </w:r>
          </w:p>
        </w:tc>
      </w:tr>
      <w:tr w14:paraId="6B4E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vMerge w:val="continue"/>
            <w:shd w:val="clear" w:color="auto" w:fill="auto"/>
            <w:noWrap/>
            <w:vAlign w:val="center"/>
          </w:tcPr>
          <w:p w14:paraId="713AC639">
            <w:pPr>
              <w:jc w:val="center"/>
              <w:rPr>
                <w:rFonts w:hint="default" w:ascii="Times New Roman" w:hAnsi="Times New Roman" w:eastAsia="宋体" w:cs="Times New Roman"/>
                <w:b/>
                <w:bCs/>
                <w:i w:val="0"/>
                <w:iCs w:val="0"/>
                <w:color w:val="000000"/>
                <w:sz w:val="18"/>
                <w:szCs w:val="18"/>
                <w:highlight w:val="none"/>
                <w:u w:val="none"/>
              </w:rPr>
            </w:pPr>
          </w:p>
        </w:tc>
        <w:tc>
          <w:tcPr>
            <w:tcW w:w="1080" w:type="dxa"/>
            <w:shd w:val="clear" w:color="auto" w:fill="auto"/>
            <w:noWrap/>
            <w:vAlign w:val="center"/>
          </w:tcPr>
          <w:p w14:paraId="20DFAA7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5%</w:t>
            </w:r>
          </w:p>
        </w:tc>
        <w:tc>
          <w:tcPr>
            <w:tcW w:w="1080" w:type="dxa"/>
            <w:shd w:val="clear" w:color="auto" w:fill="auto"/>
            <w:noWrap/>
            <w:vAlign w:val="center"/>
          </w:tcPr>
          <w:p w14:paraId="454F47E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3%</w:t>
            </w:r>
          </w:p>
        </w:tc>
        <w:tc>
          <w:tcPr>
            <w:tcW w:w="1080" w:type="dxa"/>
            <w:shd w:val="clear" w:color="auto" w:fill="auto"/>
            <w:noWrap/>
            <w:vAlign w:val="center"/>
          </w:tcPr>
          <w:p w14:paraId="10A9158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1%</w:t>
            </w:r>
          </w:p>
        </w:tc>
        <w:tc>
          <w:tcPr>
            <w:tcW w:w="1080" w:type="dxa"/>
            <w:shd w:val="clear" w:color="auto" w:fill="auto"/>
            <w:noWrap/>
            <w:vAlign w:val="center"/>
          </w:tcPr>
          <w:p w14:paraId="509DF2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0.5%</w:t>
            </w:r>
          </w:p>
        </w:tc>
        <w:tc>
          <w:tcPr>
            <w:tcW w:w="1080" w:type="dxa"/>
            <w:shd w:val="clear" w:color="auto" w:fill="auto"/>
            <w:noWrap/>
            <w:vAlign w:val="center"/>
          </w:tcPr>
          <w:p w14:paraId="5889AB6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0.1%</w:t>
            </w:r>
          </w:p>
        </w:tc>
      </w:tr>
      <w:tr w14:paraId="25FF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44045F4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Lab1</w:t>
            </w:r>
          </w:p>
        </w:tc>
        <w:tc>
          <w:tcPr>
            <w:tcW w:w="1080" w:type="dxa"/>
            <w:shd w:val="clear" w:color="auto" w:fill="auto"/>
            <w:noWrap/>
            <w:vAlign w:val="center"/>
          </w:tcPr>
          <w:p w14:paraId="062961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-0.60</w:t>
            </w:r>
          </w:p>
        </w:tc>
        <w:tc>
          <w:tcPr>
            <w:tcW w:w="1080" w:type="dxa"/>
            <w:shd w:val="clear" w:color="auto" w:fill="auto"/>
            <w:noWrap/>
            <w:vAlign w:val="center"/>
          </w:tcPr>
          <w:p w14:paraId="49B3B0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0.12</w:t>
            </w:r>
          </w:p>
        </w:tc>
        <w:tc>
          <w:tcPr>
            <w:tcW w:w="1080" w:type="dxa"/>
            <w:shd w:val="clear" w:color="auto" w:fill="auto"/>
            <w:noWrap/>
            <w:vAlign w:val="center"/>
          </w:tcPr>
          <w:p w14:paraId="109664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1.74</w:t>
            </w:r>
          </w:p>
        </w:tc>
        <w:tc>
          <w:tcPr>
            <w:tcW w:w="1080" w:type="dxa"/>
            <w:shd w:val="clear" w:color="auto" w:fill="auto"/>
            <w:noWrap/>
            <w:vAlign w:val="center"/>
          </w:tcPr>
          <w:p w14:paraId="6BA50D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2.34</w:t>
            </w:r>
          </w:p>
        </w:tc>
        <w:tc>
          <w:tcPr>
            <w:tcW w:w="1080" w:type="dxa"/>
            <w:shd w:val="clear" w:color="auto" w:fill="auto"/>
            <w:noWrap/>
            <w:vAlign w:val="center"/>
          </w:tcPr>
          <w:p w14:paraId="7D7D94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4.75</w:t>
            </w:r>
          </w:p>
        </w:tc>
      </w:tr>
      <w:tr w14:paraId="400F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30EF180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Lab2</w:t>
            </w:r>
          </w:p>
        </w:tc>
        <w:tc>
          <w:tcPr>
            <w:tcW w:w="1080" w:type="dxa"/>
            <w:shd w:val="clear" w:color="auto" w:fill="auto"/>
            <w:noWrap/>
            <w:vAlign w:val="center"/>
          </w:tcPr>
          <w:p w14:paraId="5E46E1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-1.28</w:t>
            </w:r>
          </w:p>
        </w:tc>
        <w:tc>
          <w:tcPr>
            <w:tcW w:w="1080" w:type="dxa"/>
            <w:shd w:val="clear" w:color="auto" w:fill="auto"/>
            <w:noWrap/>
            <w:vAlign w:val="center"/>
          </w:tcPr>
          <w:p w14:paraId="274EC7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-0.46</w:t>
            </w:r>
          </w:p>
        </w:tc>
        <w:tc>
          <w:tcPr>
            <w:tcW w:w="1080" w:type="dxa"/>
            <w:shd w:val="clear" w:color="auto" w:fill="auto"/>
            <w:noWrap/>
            <w:vAlign w:val="center"/>
          </w:tcPr>
          <w:p w14:paraId="565E0E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1.42</w:t>
            </w:r>
          </w:p>
        </w:tc>
        <w:tc>
          <w:tcPr>
            <w:tcW w:w="1080" w:type="dxa"/>
            <w:shd w:val="clear" w:color="auto" w:fill="auto"/>
            <w:noWrap/>
            <w:vAlign w:val="center"/>
          </w:tcPr>
          <w:p w14:paraId="6FF4B5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2.07</w:t>
            </w:r>
          </w:p>
        </w:tc>
        <w:tc>
          <w:tcPr>
            <w:tcW w:w="1080" w:type="dxa"/>
            <w:shd w:val="clear" w:color="auto" w:fill="auto"/>
            <w:noWrap/>
            <w:vAlign w:val="center"/>
          </w:tcPr>
          <w:p w14:paraId="08F253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4.08</w:t>
            </w:r>
          </w:p>
        </w:tc>
      </w:tr>
      <w:tr w14:paraId="5D5E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5905323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Lab3</w:t>
            </w:r>
          </w:p>
        </w:tc>
        <w:tc>
          <w:tcPr>
            <w:tcW w:w="1080" w:type="dxa"/>
            <w:shd w:val="clear" w:color="auto" w:fill="auto"/>
            <w:noWrap/>
            <w:vAlign w:val="center"/>
          </w:tcPr>
          <w:p w14:paraId="1A879C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-0.70</w:t>
            </w:r>
          </w:p>
        </w:tc>
        <w:tc>
          <w:tcPr>
            <w:tcW w:w="1080" w:type="dxa"/>
            <w:shd w:val="clear" w:color="auto" w:fill="auto"/>
            <w:noWrap/>
            <w:vAlign w:val="center"/>
          </w:tcPr>
          <w:p w14:paraId="5565F0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0.02</w:t>
            </w:r>
          </w:p>
        </w:tc>
        <w:tc>
          <w:tcPr>
            <w:tcW w:w="1080" w:type="dxa"/>
            <w:shd w:val="clear" w:color="auto" w:fill="auto"/>
            <w:noWrap/>
            <w:vAlign w:val="center"/>
          </w:tcPr>
          <w:p w14:paraId="569CDB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1.50</w:t>
            </w:r>
          </w:p>
        </w:tc>
        <w:tc>
          <w:tcPr>
            <w:tcW w:w="1080" w:type="dxa"/>
            <w:shd w:val="clear" w:color="auto" w:fill="auto"/>
            <w:noWrap/>
            <w:vAlign w:val="center"/>
          </w:tcPr>
          <w:p w14:paraId="66A89D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2.21</w:t>
            </w:r>
          </w:p>
        </w:tc>
        <w:tc>
          <w:tcPr>
            <w:tcW w:w="1080" w:type="dxa"/>
            <w:shd w:val="clear" w:color="auto" w:fill="auto"/>
            <w:noWrap/>
            <w:vAlign w:val="center"/>
          </w:tcPr>
          <w:p w14:paraId="714FE0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4.79</w:t>
            </w:r>
          </w:p>
        </w:tc>
      </w:tr>
      <w:tr w14:paraId="3065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0415C6D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Lab4</w:t>
            </w:r>
          </w:p>
        </w:tc>
        <w:tc>
          <w:tcPr>
            <w:tcW w:w="1080" w:type="dxa"/>
            <w:shd w:val="clear" w:color="auto" w:fill="auto"/>
            <w:noWrap/>
            <w:vAlign w:val="center"/>
          </w:tcPr>
          <w:p w14:paraId="70CFD8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-0.74</w:t>
            </w:r>
          </w:p>
        </w:tc>
        <w:tc>
          <w:tcPr>
            <w:tcW w:w="1080" w:type="dxa"/>
            <w:shd w:val="clear" w:color="auto" w:fill="auto"/>
            <w:noWrap/>
            <w:vAlign w:val="center"/>
          </w:tcPr>
          <w:p w14:paraId="30C830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0.01</w:t>
            </w:r>
          </w:p>
        </w:tc>
        <w:tc>
          <w:tcPr>
            <w:tcW w:w="1080" w:type="dxa"/>
            <w:shd w:val="clear" w:color="auto" w:fill="auto"/>
            <w:noWrap/>
            <w:vAlign w:val="center"/>
          </w:tcPr>
          <w:p w14:paraId="5E759B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1.57</w:t>
            </w:r>
          </w:p>
        </w:tc>
        <w:tc>
          <w:tcPr>
            <w:tcW w:w="1080" w:type="dxa"/>
            <w:shd w:val="clear" w:color="auto" w:fill="auto"/>
            <w:noWrap/>
            <w:vAlign w:val="center"/>
          </w:tcPr>
          <w:p w14:paraId="196DD7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2.69</w:t>
            </w:r>
          </w:p>
        </w:tc>
        <w:tc>
          <w:tcPr>
            <w:tcW w:w="1080" w:type="dxa"/>
            <w:shd w:val="clear" w:color="auto" w:fill="auto"/>
            <w:noWrap/>
            <w:vAlign w:val="center"/>
          </w:tcPr>
          <w:p w14:paraId="5185B7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4.85</w:t>
            </w:r>
          </w:p>
        </w:tc>
      </w:tr>
      <w:tr w14:paraId="5C19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288B292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Lab5</w:t>
            </w:r>
          </w:p>
        </w:tc>
        <w:tc>
          <w:tcPr>
            <w:tcW w:w="1080" w:type="dxa"/>
            <w:shd w:val="clear" w:color="auto" w:fill="auto"/>
            <w:noWrap/>
            <w:vAlign w:val="center"/>
          </w:tcPr>
          <w:p w14:paraId="56BDF9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-0.73</w:t>
            </w:r>
          </w:p>
        </w:tc>
        <w:tc>
          <w:tcPr>
            <w:tcW w:w="1080" w:type="dxa"/>
            <w:shd w:val="clear" w:color="auto" w:fill="auto"/>
            <w:noWrap/>
            <w:vAlign w:val="center"/>
          </w:tcPr>
          <w:p w14:paraId="459FEB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-0.04</w:t>
            </w:r>
          </w:p>
        </w:tc>
        <w:tc>
          <w:tcPr>
            <w:tcW w:w="1080" w:type="dxa"/>
            <w:shd w:val="clear" w:color="auto" w:fill="auto"/>
            <w:noWrap/>
            <w:vAlign w:val="center"/>
          </w:tcPr>
          <w:p w14:paraId="52D284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1.43</w:t>
            </w:r>
          </w:p>
        </w:tc>
        <w:tc>
          <w:tcPr>
            <w:tcW w:w="1080" w:type="dxa"/>
            <w:shd w:val="clear" w:color="auto" w:fill="auto"/>
            <w:noWrap/>
            <w:vAlign w:val="center"/>
          </w:tcPr>
          <w:p w14:paraId="3138D9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2.36</w:t>
            </w:r>
          </w:p>
        </w:tc>
        <w:tc>
          <w:tcPr>
            <w:tcW w:w="1080" w:type="dxa"/>
            <w:shd w:val="clear" w:color="auto" w:fill="auto"/>
            <w:noWrap/>
            <w:vAlign w:val="center"/>
          </w:tcPr>
          <w:p w14:paraId="122964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4.63</w:t>
            </w:r>
          </w:p>
        </w:tc>
      </w:tr>
      <w:tr w14:paraId="4E59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0C42707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Lab6</w:t>
            </w:r>
          </w:p>
        </w:tc>
        <w:tc>
          <w:tcPr>
            <w:tcW w:w="1080" w:type="dxa"/>
            <w:shd w:val="clear" w:color="auto" w:fill="auto"/>
            <w:noWrap/>
            <w:vAlign w:val="center"/>
          </w:tcPr>
          <w:p w14:paraId="6B6F39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-0.70</w:t>
            </w:r>
          </w:p>
        </w:tc>
        <w:tc>
          <w:tcPr>
            <w:tcW w:w="1080" w:type="dxa"/>
            <w:shd w:val="clear" w:color="auto" w:fill="auto"/>
            <w:noWrap/>
            <w:vAlign w:val="center"/>
          </w:tcPr>
          <w:p w14:paraId="69275A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0.03</w:t>
            </w:r>
          </w:p>
        </w:tc>
        <w:tc>
          <w:tcPr>
            <w:tcW w:w="1080" w:type="dxa"/>
            <w:shd w:val="clear" w:color="auto" w:fill="auto"/>
            <w:noWrap/>
            <w:vAlign w:val="center"/>
          </w:tcPr>
          <w:p w14:paraId="09EFE7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1.56</w:t>
            </w:r>
          </w:p>
        </w:tc>
        <w:tc>
          <w:tcPr>
            <w:tcW w:w="1080" w:type="dxa"/>
            <w:shd w:val="clear" w:color="auto" w:fill="auto"/>
            <w:noWrap/>
            <w:vAlign w:val="center"/>
          </w:tcPr>
          <w:p w14:paraId="18B5EF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2.43</w:t>
            </w:r>
          </w:p>
        </w:tc>
        <w:tc>
          <w:tcPr>
            <w:tcW w:w="1080" w:type="dxa"/>
            <w:shd w:val="clear" w:color="auto" w:fill="auto"/>
            <w:noWrap/>
            <w:vAlign w:val="center"/>
          </w:tcPr>
          <w:p w14:paraId="2A08CC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4.89</w:t>
            </w:r>
          </w:p>
        </w:tc>
      </w:tr>
      <w:tr w14:paraId="5816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6B4D36A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Lab7</w:t>
            </w:r>
          </w:p>
        </w:tc>
        <w:tc>
          <w:tcPr>
            <w:tcW w:w="1080" w:type="dxa"/>
            <w:shd w:val="clear" w:color="auto" w:fill="auto"/>
            <w:noWrap/>
            <w:vAlign w:val="center"/>
          </w:tcPr>
          <w:p w14:paraId="7FB851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-0.69</w:t>
            </w:r>
          </w:p>
        </w:tc>
        <w:tc>
          <w:tcPr>
            <w:tcW w:w="1080" w:type="dxa"/>
            <w:shd w:val="clear" w:color="auto" w:fill="auto"/>
            <w:noWrap/>
            <w:vAlign w:val="center"/>
          </w:tcPr>
          <w:p w14:paraId="6E1AE3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0.07</w:t>
            </w:r>
          </w:p>
        </w:tc>
        <w:tc>
          <w:tcPr>
            <w:tcW w:w="1080" w:type="dxa"/>
            <w:shd w:val="clear" w:color="auto" w:fill="auto"/>
            <w:noWrap/>
            <w:vAlign w:val="center"/>
          </w:tcPr>
          <w:p w14:paraId="7B4A27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1.75</w:t>
            </w:r>
          </w:p>
        </w:tc>
        <w:tc>
          <w:tcPr>
            <w:tcW w:w="1080" w:type="dxa"/>
            <w:shd w:val="clear" w:color="auto" w:fill="auto"/>
            <w:noWrap/>
            <w:vAlign w:val="center"/>
          </w:tcPr>
          <w:p w14:paraId="1A7761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2.52</w:t>
            </w:r>
          </w:p>
        </w:tc>
        <w:tc>
          <w:tcPr>
            <w:tcW w:w="1080" w:type="dxa"/>
            <w:shd w:val="clear" w:color="auto" w:fill="auto"/>
            <w:noWrap/>
            <w:vAlign w:val="center"/>
          </w:tcPr>
          <w:p w14:paraId="34B085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4.65</w:t>
            </w:r>
          </w:p>
        </w:tc>
      </w:tr>
      <w:tr w14:paraId="077F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1FCD4A3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Lab8</w:t>
            </w:r>
          </w:p>
        </w:tc>
        <w:tc>
          <w:tcPr>
            <w:tcW w:w="1080" w:type="dxa"/>
            <w:shd w:val="clear" w:color="auto" w:fill="auto"/>
            <w:noWrap/>
            <w:vAlign w:val="center"/>
          </w:tcPr>
          <w:p w14:paraId="5A7B2B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-0.77</w:t>
            </w:r>
          </w:p>
        </w:tc>
        <w:tc>
          <w:tcPr>
            <w:tcW w:w="1080" w:type="dxa"/>
            <w:shd w:val="clear" w:color="auto" w:fill="auto"/>
            <w:noWrap/>
            <w:vAlign w:val="center"/>
          </w:tcPr>
          <w:p w14:paraId="36EF80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0.00</w:t>
            </w:r>
          </w:p>
        </w:tc>
        <w:tc>
          <w:tcPr>
            <w:tcW w:w="1080" w:type="dxa"/>
            <w:shd w:val="clear" w:color="auto" w:fill="auto"/>
            <w:noWrap/>
            <w:vAlign w:val="center"/>
          </w:tcPr>
          <w:p w14:paraId="195C77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1.65</w:t>
            </w:r>
          </w:p>
        </w:tc>
        <w:tc>
          <w:tcPr>
            <w:tcW w:w="1080" w:type="dxa"/>
            <w:shd w:val="clear" w:color="auto" w:fill="auto"/>
            <w:noWrap/>
            <w:vAlign w:val="center"/>
          </w:tcPr>
          <w:p w14:paraId="76BE3D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2.36</w:t>
            </w:r>
          </w:p>
        </w:tc>
        <w:tc>
          <w:tcPr>
            <w:tcW w:w="1080" w:type="dxa"/>
            <w:shd w:val="clear" w:color="auto" w:fill="auto"/>
            <w:noWrap/>
            <w:vAlign w:val="center"/>
          </w:tcPr>
          <w:p w14:paraId="2B918B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5.25</w:t>
            </w:r>
          </w:p>
        </w:tc>
      </w:tr>
      <w:tr w14:paraId="1FBB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8" w:type="dxa"/>
            <w:shd w:val="clear" w:color="auto" w:fill="auto"/>
            <w:noWrap/>
            <w:vAlign w:val="center"/>
          </w:tcPr>
          <w:p w14:paraId="31EBBFD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highlight w:val="none"/>
                <w:u w:val="none"/>
                <w:lang w:val="en-US" w:eastAsia="zh-CN" w:bidi="ar"/>
              </w:rPr>
            </w:pPr>
            <w:r>
              <w:rPr>
                <w:rFonts w:hint="default" w:ascii="Times New Roman" w:hAnsi="Times New Roman" w:eastAsia="宋体" w:cs="Times New Roman"/>
                <w:b/>
                <w:bCs/>
                <w:i w:val="0"/>
                <w:iCs w:val="0"/>
                <w:color w:val="000000"/>
                <w:kern w:val="0"/>
                <w:sz w:val="18"/>
                <w:szCs w:val="18"/>
                <w:highlight w:val="none"/>
                <w:u w:val="none"/>
                <w:lang w:val="en-US" w:eastAsia="zh-CN" w:bidi="ar"/>
              </w:rPr>
              <w:t>平均值</w:t>
            </w:r>
          </w:p>
        </w:tc>
        <w:tc>
          <w:tcPr>
            <w:tcW w:w="1080" w:type="dxa"/>
            <w:shd w:val="clear" w:color="auto" w:fill="auto"/>
            <w:noWrap/>
            <w:vAlign w:val="center"/>
          </w:tcPr>
          <w:p w14:paraId="249E9A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-0.78</w:t>
            </w:r>
          </w:p>
        </w:tc>
        <w:tc>
          <w:tcPr>
            <w:tcW w:w="1080" w:type="dxa"/>
            <w:shd w:val="clear" w:color="auto" w:fill="auto"/>
            <w:noWrap/>
            <w:vAlign w:val="center"/>
          </w:tcPr>
          <w:p w14:paraId="6F8AFE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-0.03</w:t>
            </w:r>
          </w:p>
        </w:tc>
        <w:tc>
          <w:tcPr>
            <w:tcW w:w="1080" w:type="dxa"/>
            <w:shd w:val="clear" w:color="auto" w:fill="auto"/>
            <w:noWrap/>
            <w:vAlign w:val="center"/>
          </w:tcPr>
          <w:p w14:paraId="41F96C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1.58</w:t>
            </w:r>
          </w:p>
        </w:tc>
        <w:tc>
          <w:tcPr>
            <w:tcW w:w="1080" w:type="dxa"/>
            <w:shd w:val="clear" w:color="auto" w:fill="auto"/>
            <w:noWrap/>
            <w:vAlign w:val="center"/>
          </w:tcPr>
          <w:p w14:paraId="7A3369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2.37</w:t>
            </w:r>
          </w:p>
        </w:tc>
        <w:tc>
          <w:tcPr>
            <w:tcW w:w="1080" w:type="dxa"/>
            <w:shd w:val="clear" w:color="auto" w:fill="auto"/>
            <w:noWrap/>
            <w:vAlign w:val="center"/>
          </w:tcPr>
          <w:p w14:paraId="72FBB9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4.74</w:t>
            </w:r>
          </w:p>
        </w:tc>
      </w:tr>
    </w:tbl>
    <w:p w14:paraId="4E0A7109">
      <w:pPr>
        <w:rPr>
          <w:rFonts w:hint="default" w:ascii="Times New Roman" w:hAnsi="Times New Roman" w:eastAsia="宋体" w:cs="Times New Roman"/>
          <w:sz w:val="18"/>
          <w:szCs w:val="18"/>
          <w:highlight w:val="green"/>
          <w:lang w:val="en-US" w:eastAsia="zh-CN"/>
        </w:rPr>
      </w:pPr>
    </w:p>
    <w:p w14:paraId="0BE325F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highlight w:val="green"/>
        </w:rPr>
      </w:pPr>
      <w:r>
        <w:rPr>
          <w:rFonts w:hint="default" w:ascii="Times New Roman" w:hAnsi="Times New Roman" w:eastAsia="宋体" w:cs="Times New Roman"/>
          <w:sz w:val="21"/>
          <w:szCs w:val="21"/>
          <w:highlight w:val="none"/>
          <w:lang w:val="en-US" w:eastAsia="zh-CN"/>
        </w:rPr>
        <w:t>结果显示：8家实验室5%样品</w:t>
      </w:r>
      <w:r>
        <w:rPr>
          <w:rFonts w:hint="default" w:ascii="Times New Roman" w:hAnsi="Times New Roman" w:eastAsia="黑体" w:cs="Times New Roman"/>
          <w:kern w:val="2"/>
          <w:sz w:val="21"/>
          <w:szCs w:val="21"/>
          <w:lang w:val="en-US" w:eastAsia="zh-CN" w:bidi="ar-SA"/>
        </w:rPr>
        <w:t>ΔΔ</w:t>
      </w:r>
      <w:r>
        <w:rPr>
          <w:rFonts w:hint="default" w:ascii="Times New Roman" w:hAnsi="Times New Roman" w:eastAsia="宋体" w:cs="Times New Roman"/>
          <w:i/>
          <w:iCs/>
          <w:sz w:val="21"/>
          <w:szCs w:val="21"/>
          <w:highlight w:val="none"/>
          <w:lang w:val="en-US" w:eastAsia="zh-CN"/>
        </w:rPr>
        <w:t>Ct</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kern w:val="0"/>
          <w:sz w:val="21"/>
          <w:szCs w:val="21"/>
        </w:rPr>
        <w:t>0.4</w:t>
      </w:r>
      <w:r>
        <w:rPr>
          <w:rFonts w:hint="default" w:ascii="Times New Roman" w:hAnsi="Times New Roman" w:eastAsia="宋体" w:cs="Times New Roman"/>
          <w:sz w:val="21"/>
          <w:szCs w:val="21"/>
          <w:highlight w:val="none"/>
          <w:lang w:val="en-US" w:eastAsia="zh-CN"/>
        </w:rPr>
        <w:t>，表明样品中</w:t>
      </w:r>
      <w:r>
        <w:rPr>
          <w:rFonts w:hint="default" w:ascii="Times New Roman" w:hAnsi="Times New Roman" w:eastAsia="宋体" w:cs="Times New Roman"/>
          <w:kern w:val="0"/>
          <w:sz w:val="21"/>
          <w:szCs w:val="21"/>
        </w:rPr>
        <w:t>检测出</w:t>
      </w:r>
      <w:r>
        <w:rPr>
          <w:rFonts w:hint="default" w:ascii="Times New Roman" w:hAnsi="Times New Roman" w:eastAsia="宋体" w:cs="Times New Roman"/>
          <w:sz w:val="21"/>
          <w:szCs w:val="21"/>
          <w:highlight w:val="none"/>
          <w:lang w:val="en-US" w:eastAsia="zh-CN"/>
        </w:rPr>
        <w:t>抗虫耐除草剂玉米</w:t>
      </w:r>
      <w:r>
        <w:rPr>
          <w:rFonts w:hint="eastAsia" w:cs="Times New Roman"/>
          <w:sz w:val="21"/>
          <w:szCs w:val="21"/>
          <w:highlight w:val="none"/>
          <w:lang w:val="en-US" w:eastAsia="zh-CN"/>
        </w:rPr>
        <w:t>QY2569-42</w:t>
      </w:r>
      <w:r>
        <w:rPr>
          <w:rFonts w:hint="default" w:ascii="Times New Roman" w:hAnsi="Times New Roman" w:eastAsia="宋体" w:cs="Times New Roman"/>
          <w:sz w:val="21"/>
          <w:szCs w:val="21"/>
          <w:highlight w:val="none"/>
          <w:lang w:val="en-US" w:eastAsia="zh-CN"/>
        </w:rPr>
        <w:t>转化体成分，</w:t>
      </w:r>
      <w:r>
        <w:rPr>
          <w:rFonts w:hint="default" w:ascii="Times New Roman" w:hAnsi="Times New Roman" w:eastAsia="宋体" w:cs="Times New Roman"/>
          <w:kern w:val="0"/>
          <w:sz w:val="21"/>
          <w:szCs w:val="21"/>
        </w:rPr>
        <w:t>含量显著高于阳性定量质控品</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highlight w:val="none"/>
          <w:lang w:val="en-US" w:eastAsia="zh-CN"/>
        </w:rPr>
        <w:t>；1%、0.5%和0.1%样品的</w:t>
      </w:r>
      <w:r>
        <w:rPr>
          <w:rFonts w:hint="default" w:ascii="Times New Roman" w:hAnsi="Times New Roman" w:eastAsia="黑体" w:cs="Times New Roman"/>
          <w:kern w:val="2"/>
          <w:sz w:val="21"/>
          <w:szCs w:val="21"/>
          <w:lang w:val="en-US" w:eastAsia="zh-CN" w:bidi="ar-SA"/>
        </w:rPr>
        <w:t>ΔΔ</w:t>
      </w:r>
      <w:r>
        <w:rPr>
          <w:rFonts w:hint="default" w:ascii="Times New Roman" w:hAnsi="Times New Roman" w:eastAsia="宋体" w:cs="Times New Roman"/>
          <w:i/>
          <w:iCs/>
          <w:sz w:val="21"/>
          <w:szCs w:val="21"/>
          <w:highlight w:val="none"/>
          <w:lang w:val="en-US" w:eastAsia="zh-CN"/>
        </w:rPr>
        <w:t>Ct</w:t>
      </w:r>
      <w:r>
        <w:rPr>
          <w:rFonts w:hint="default" w:ascii="Times New Roman" w:hAnsi="Times New Roman" w:eastAsia="宋体" w:cs="Times New Roman"/>
          <w:kern w:val="0"/>
          <w:sz w:val="21"/>
          <w:szCs w:val="21"/>
        </w:rPr>
        <w:t>＞0.4</w:t>
      </w:r>
      <w:r>
        <w:rPr>
          <w:rFonts w:hint="default" w:ascii="Times New Roman" w:hAnsi="Times New Roman" w:eastAsia="宋体" w:cs="Times New Roman"/>
          <w:sz w:val="21"/>
          <w:szCs w:val="21"/>
          <w:highlight w:val="none"/>
          <w:lang w:val="en-US" w:eastAsia="zh-CN"/>
        </w:rPr>
        <w:t>，表明样品中</w:t>
      </w:r>
      <w:r>
        <w:rPr>
          <w:rFonts w:hint="default" w:ascii="Times New Roman" w:hAnsi="Times New Roman" w:eastAsia="宋体" w:cs="Times New Roman"/>
          <w:kern w:val="0"/>
          <w:sz w:val="21"/>
          <w:szCs w:val="21"/>
        </w:rPr>
        <w:t>检测出</w:t>
      </w:r>
      <w:r>
        <w:rPr>
          <w:rFonts w:hint="default" w:ascii="Times New Roman" w:hAnsi="Times New Roman" w:eastAsia="宋体" w:cs="Times New Roman"/>
          <w:sz w:val="21"/>
          <w:szCs w:val="21"/>
          <w:highlight w:val="none"/>
          <w:lang w:val="en-US" w:eastAsia="zh-CN"/>
        </w:rPr>
        <w:t>抗虫耐除草剂玉米</w:t>
      </w:r>
      <w:r>
        <w:rPr>
          <w:rFonts w:hint="eastAsia" w:cs="Times New Roman"/>
          <w:sz w:val="21"/>
          <w:szCs w:val="21"/>
          <w:highlight w:val="none"/>
          <w:lang w:val="en-US" w:eastAsia="zh-CN"/>
        </w:rPr>
        <w:t>QY2569-42</w:t>
      </w:r>
      <w:r>
        <w:rPr>
          <w:rFonts w:hint="default" w:ascii="Times New Roman" w:hAnsi="Times New Roman" w:eastAsia="宋体" w:cs="Times New Roman"/>
          <w:sz w:val="21"/>
          <w:szCs w:val="21"/>
          <w:highlight w:val="none"/>
          <w:lang w:val="en-US" w:eastAsia="zh-CN"/>
        </w:rPr>
        <w:t>转化体成分，</w:t>
      </w:r>
      <w:r>
        <w:rPr>
          <w:rFonts w:hint="default" w:ascii="Times New Roman" w:hAnsi="Times New Roman" w:eastAsia="宋体" w:cs="Times New Roman"/>
          <w:kern w:val="0"/>
          <w:sz w:val="21"/>
          <w:szCs w:val="21"/>
        </w:rPr>
        <w:t>含量显著</w:t>
      </w:r>
      <w:r>
        <w:rPr>
          <w:rFonts w:hint="default" w:ascii="Times New Roman" w:hAnsi="Times New Roman" w:eastAsia="宋体" w:cs="Times New Roman"/>
          <w:kern w:val="0"/>
          <w:sz w:val="21"/>
          <w:szCs w:val="21"/>
          <w:lang w:val="en-US" w:eastAsia="zh-CN"/>
        </w:rPr>
        <w:t>低于</w:t>
      </w:r>
      <w:r>
        <w:rPr>
          <w:rFonts w:hint="default" w:ascii="Times New Roman" w:hAnsi="Times New Roman" w:eastAsia="宋体" w:cs="Times New Roman"/>
          <w:kern w:val="0"/>
          <w:sz w:val="21"/>
          <w:szCs w:val="21"/>
        </w:rPr>
        <w:t>阳性定量质控品</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highlight w:val="none"/>
          <w:lang w:val="en-US" w:eastAsia="zh-CN"/>
        </w:rPr>
        <w:t>。</w:t>
      </w:r>
    </w:p>
    <w:p w14:paraId="025EBBE5">
      <w:pPr>
        <w:pStyle w:val="4"/>
        <w:numPr>
          <w:ilvl w:val="0"/>
          <w:numId w:val="5"/>
        </w:numPr>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普通PCR</w:t>
      </w:r>
      <w:r>
        <w:rPr>
          <w:rFonts w:hint="eastAsia" w:ascii="Times New Roman" w:hAnsi="Times New Roman" w:eastAsia="黑体" w:cs="Calibri"/>
          <w:b w:val="0"/>
          <w:sz w:val="21"/>
          <w:lang w:val="en-US" w:eastAsia="zh-CN"/>
        </w:rPr>
        <w:t>方法</w:t>
      </w:r>
      <w:r>
        <w:rPr>
          <w:rFonts w:ascii="Times New Roman" w:hAnsi="Times New Roman" w:eastAsia="黑体" w:cs="Calibri"/>
          <w:b w:val="0"/>
          <w:sz w:val="21"/>
        </w:rPr>
        <w:t>验证结果分析</w:t>
      </w:r>
    </w:p>
    <w:p w14:paraId="5A722C5B">
      <w:pPr>
        <w:pStyle w:val="4"/>
        <w:numPr>
          <w:ilvl w:val="0"/>
          <w:numId w:val="0"/>
        </w:numPr>
        <w:bidi w:val="0"/>
        <w:spacing w:before="50" w:beforeLines="50" w:after="50" w:afterLines="50" w:line="240" w:lineRule="auto"/>
        <w:ind w:firstLine="420" w:firstLineChars="200"/>
        <w:rPr>
          <w:rFonts w:ascii="Times New Roman" w:hAnsi="Times New Roman" w:eastAsia="黑体" w:cs="Calibri"/>
          <w:b w:val="0"/>
          <w:sz w:val="21"/>
        </w:rPr>
      </w:pPr>
      <w:r>
        <w:rPr>
          <w:rFonts w:hint="eastAsia" w:ascii="Times New Roman" w:hAnsi="Times New Roman" w:eastAsia="黑体" w:cs="Calibri"/>
          <w:b w:val="0"/>
          <w:sz w:val="21"/>
          <w:lang w:val="en-US" w:eastAsia="zh-CN"/>
        </w:rPr>
        <w:t>3.</w:t>
      </w:r>
      <w:r>
        <w:rPr>
          <w:rFonts w:ascii="Times New Roman" w:hAnsi="Times New Roman" w:eastAsia="黑体" w:cs="Calibri"/>
          <w:b w:val="0"/>
          <w:sz w:val="21"/>
        </w:rPr>
        <w:t>1</w:t>
      </w:r>
      <w:r>
        <w:rPr>
          <w:rFonts w:hint="eastAsia" w:ascii="Times New Roman" w:hAnsi="Times New Roman" w:eastAsia="黑体" w:cs="Calibri"/>
          <w:b w:val="0"/>
          <w:sz w:val="21"/>
          <w:lang w:val="en-US" w:eastAsia="zh-CN"/>
        </w:rPr>
        <w:t xml:space="preserve"> </w:t>
      </w:r>
      <w:r>
        <w:rPr>
          <w:rFonts w:ascii="Times New Roman" w:hAnsi="Times New Roman" w:eastAsia="黑体" w:cs="Calibri"/>
          <w:b w:val="0"/>
          <w:sz w:val="21"/>
        </w:rPr>
        <w:t>特异性</w:t>
      </w:r>
    </w:p>
    <w:p w14:paraId="048E2B0C">
      <w:pPr>
        <w:pStyle w:val="8"/>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8个实验室分别对下表中11个样品进行抗虫耐除草剂玉米</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转化体特异性定性验证，每个样品3个</w:t>
      </w:r>
      <w:r>
        <w:rPr>
          <w:rFonts w:hint="default" w:ascii="Times New Roman" w:hAnsi="Times New Roman" w:eastAsia="宋体" w:cs="Times New Roman"/>
          <w:sz w:val="21"/>
          <w:szCs w:val="21"/>
          <w:lang w:eastAsia="zh-CN"/>
        </w:rPr>
        <w:t>子样</w:t>
      </w:r>
      <w:r>
        <w:rPr>
          <w:rFonts w:hint="default" w:ascii="Times New Roman" w:hAnsi="Times New Roman" w:eastAsia="宋体" w:cs="Times New Roman"/>
          <w:sz w:val="21"/>
          <w:szCs w:val="21"/>
        </w:rPr>
        <w:t xml:space="preserve">，3次重复。普通PCR结果显示，在阳性质控品、1% </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 xml:space="preserve">和0.1% </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（普通PCR方法检出限）的样品中扩增出清晰明亮的特异性条带，其他样品中无扩增条带。8个实验室验证结果一致（</w:t>
      </w:r>
      <w:r>
        <w:rPr>
          <w:rFonts w:hint="eastAsia" w:ascii="Times New Roman" w:hAnsi="Times New Roman" w:eastAsia="宋体" w:cs="Times New Roman"/>
          <w:sz w:val="21"/>
          <w:szCs w:val="21"/>
          <w:lang w:eastAsia="zh-CN"/>
        </w:rPr>
        <w:t>表</w:t>
      </w:r>
      <w:r>
        <w:rPr>
          <w:rFonts w:hint="eastAsia" w:ascii="Times New Roman" w:hAnsi="Times New Roman" w:eastAsia="宋体" w:cs="Times New Roman"/>
          <w:sz w:val="21"/>
          <w:szCs w:val="21"/>
          <w:lang w:val="en-US" w:eastAsia="zh-CN"/>
        </w:rPr>
        <w:t>3-16</w:t>
      </w:r>
      <w:r>
        <w:rPr>
          <w:rFonts w:hint="default" w:ascii="Times New Roman" w:hAnsi="Times New Roman" w:eastAsia="宋体" w:cs="Times New Roman"/>
          <w:sz w:val="21"/>
          <w:szCs w:val="21"/>
        </w:rPr>
        <w:t>），与实验室内部测试结果相符。</w:t>
      </w:r>
    </w:p>
    <w:p w14:paraId="00794426">
      <w:pPr>
        <w:pStyle w:val="22"/>
        <w:spacing w:line="240" w:lineRule="auto"/>
        <w:jc w:val="center"/>
        <w:rPr>
          <w:rFonts w:hint="default" w:ascii="Times New Roman" w:hAnsi="Times New Roman" w:eastAsia="黑体" w:cs="Calibri"/>
          <w:kern w:val="2"/>
          <w:sz w:val="18"/>
          <w:szCs w:val="22"/>
          <w:lang w:val="en-US" w:eastAsia="zh-CN" w:bidi="ar-SA"/>
        </w:rPr>
      </w:pPr>
      <w:r>
        <w:rPr>
          <w:rFonts w:hint="eastAsia" w:ascii="Times New Roman" w:eastAsia="黑体" w:cs="Calibri"/>
          <w:kern w:val="2"/>
          <w:sz w:val="18"/>
          <w:szCs w:val="22"/>
          <w:lang w:val="en-US" w:eastAsia="zh-CN" w:bidi="ar-SA"/>
        </w:rPr>
        <w:t>表3-16</w:t>
      </w:r>
      <w:r>
        <w:rPr>
          <w:rFonts w:hint="default" w:ascii="Times New Roman" w:hAnsi="Times New Roman" w:eastAsia="黑体" w:cs="Calibri"/>
          <w:kern w:val="2"/>
          <w:sz w:val="18"/>
          <w:szCs w:val="22"/>
          <w:lang w:val="en-US" w:eastAsia="zh-CN" w:bidi="ar-SA"/>
        </w:rPr>
        <w:t xml:space="preserve"> 普通PCR定性方法室间测试结果</w:t>
      </w:r>
    </w:p>
    <w:tbl>
      <w:tblPr>
        <w:tblStyle w:val="16"/>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692"/>
        <w:gridCol w:w="692"/>
        <w:gridCol w:w="692"/>
        <w:gridCol w:w="692"/>
        <w:gridCol w:w="692"/>
        <w:gridCol w:w="692"/>
        <w:gridCol w:w="692"/>
        <w:gridCol w:w="692"/>
        <w:gridCol w:w="698"/>
      </w:tblGrid>
      <w:tr w14:paraId="2CE5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110" w:type="dxa"/>
            <w:vMerge w:val="restart"/>
            <w:vAlign w:val="center"/>
          </w:tcPr>
          <w:p w14:paraId="64A15922">
            <w:pPr>
              <w:spacing w:beforeLines="2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样品名称／编号</w:t>
            </w:r>
          </w:p>
        </w:tc>
        <w:tc>
          <w:tcPr>
            <w:tcW w:w="6234" w:type="dxa"/>
            <w:gridSpan w:val="9"/>
            <w:vAlign w:val="center"/>
          </w:tcPr>
          <w:p w14:paraId="55A29B21">
            <w:pPr>
              <w:spacing w:beforeLines="20"/>
              <w:jc w:val="center"/>
              <w:rPr>
                <w:rFonts w:hint="default" w:ascii="Times New Roman" w:hAnsi="Times New Roman" w:eastAsia="宋体" w:cs="Times New Roman"/>
                <w:b/>
                <w:sz w:val="18"/>
                <w:szCs w:val="18"/>
              </w:rPr>
            </w:pPr>
            <w:r>
              <w:rPr>
                <w:rFonts w:hint="eastAsia" w:cs="Times New Roman"/>
                <w:b/>
                <w:sz w:val="18"/>
                <w:szCs w:val="18"/>
                <w:lang w:eastAsia="zh-CN"/>
              </w:rPr>
              <w:t>QY2569-42</w:t>
            </w:r>
            <w:r>
              <w:rPr>
                <w:rFonts w:hint="default" w:ascii="Times New Roman" w:hAnsi="Times New Roman" w:eastAsia="宋体" w:cs="Times New Roman"/>
                <w:b/>
                <w:sz w:val="18"/>
                <w:szCs w:val="18"/>
              </w:rPr>
              <w:t>转化体特异性序列重复测定结果</w:t>
            </w:r>
          </w:p>
        </w:tc>
      </w:tr>
      <w:tr w14:paraId="7537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110" w:type="dxa"/>
            <w:vMerge w:val="continue"/>
            <w:tcBorders>
              <w:bottom w:val="single" w:color="auto" w:sz="4" w:space="0"/>
            </w:tcBorders>
            <w:vAlign w:val="center"/>
          </w:tcPr>
          <w:p w14:paraId="6E70B471">
            <w:pPr>
              <w:spacing w:beforeLines="20"/>
              <w:jc w:val="center"/>
              <w:rPr>
                <w:rFonts w:hint="default" w:ascii="Times New Roman" w:hAnsi="Times New Roman" w:eastAsia="宋体" w:cs="Times New Roman"/>
                <w:b/>
                <w:sz w:val="18"/>
                <w:szCs w:val="18"/>
              </w:rPr>
            </w:pPr>
          </w:p>
        </w:tc>
        <w:tc>
          <w:tcPr>
            <w:tcW w:w="2076" w:type="dxa"/>
            <w:gridSpan w:val="3"/>
            <w:tcBorders>
              <w:bottom w:val="single" w:color="auto" w:sz="4" w:space="0"/>
            </w:tcBorders>
            <w:vAlign w:val="center"/>
          </w:tcPr>
          <w:p w14:paraId="3588345A">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子样1</w:t>
            </w:r>
          </w:p>
        </w:tc>
        <w:tc>
          <w:tcPr>
            <w:tcW w:w="2076" w:type="dxa"/>
            <w:gridSpan w:val="3"/>
            <w:tcBorders>
              <w:bottom w:val="single" w:color="auto" w:sz="4" w:space="0"/>
            </w:tcBorders>
            <w:vAlign w:val="center"/>
          </w:tcPr>
          <w:p w14:paraId="5E4388D4">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子样2</w:t>
            </w:r>
          </w:p>
        </w:tc>
        <w:tc>
          <w:tcPr>
            <w:tcW w:w="2082" w:type="dxa"/>
            <w:gridSpan w:val="3"/>
            <w:tcBorders>
              <w:bottom w:val="single" w:color="auto" w:sz="4" w:space="0"/>
            </w:tcBorders>
            <w:vAlign w:val="center"/>
          </w:tcPr>
          <w:p w14:paraId="75F749FB">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子样3</w:t>
            </w:r>
          </w:p>
        </w:tc>
      </w:tr>
      <w:tr w14:paraId="0646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110" w:type="dxa"/>
            <w:vMerge w:val="continue"/>
            <w:tcBorders>
              <w:bottom w:val="single" w:color="auto" w:sz="4" w:space="0"/>
            </w:tcBorders>
            <w:vAlign w:val="center"/>
          </w:tcPr>
          <w:p w14:paraId="6996BD2A">
            <w:pPr>
              <w:spacing w:beforeLines="20"/>
              <w:jc w:val="center"/>
              <w:rPr>
                <w:rFonts w:hint="default" w:ascii="Times New Roman" w:hAnsi="Times New Roman" w:eastAsia="宋体" w:cs="Times New Roman"/>
                <w:b/>
                <w:sz w:val="18"/>
                <w:szCs w:val="18"/>
              </w:rPr>
            </w:pPr>
          </w:p>
        </w:tc>
        <w:tc>
          <w:tcPr>
            <w:tcW w:w="692" w:type="dxa"/>
            <w:tcBorders>
              <w:bottom w:val="single" w:color="auto" w:sz="4" w:space="0"/>
            </w:tcBorders>
            <w:vAlign w:val="center"/>
          </w:tcPr>
          <w:p w14:paraId="2EFC4133">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重复1</w:t>
            </w:r>
          </w:p>
        </w:tc>
        <w:tc>
          <w:tcPr>
            <w:tcW w:w="692" w:type="dxa"/>
            <w:tcBorders>
              <w:bottom w:val="single" w:color="auto" w:sz="4" w:space="0"/>
            </w:tcBorders>
            <w:vAlign w:val="center"/>
          </w:tcPr>
          <w:p w14:paraId="1FD6A166">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重复2</w:t>
            </w:r>
          </w:p>
        </w:tc>
        <w:tc>
          <w:tcPr>
            <w:tcW w:w="692" w:type="dxa"/>
            <w:tcBorders>
              <w:bottom w:val="single" w:color="auto" w:sz="4" w:space="0"/>
            </w:tcBorders>
            <w:vAlign w:val="center"/>
          </w:tcPr>
          <w:p w14:paraId="0996E306">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重复3</w:t>
            </w:r>
          </w:p>
        </w:tc>
        <w:tc>
          <w:tcPr>
            <w:tcW w:w="692" w:type="dxa"/>
            <w:tcBorders>
              <w:bottom w:val="single" w:color="auto" w:sz="4" w:space="0"/>
            </w:tcBorders>
            <w:vAlign w:val="center"/>
          </w:tcPr>
          <w:p w14:paraId="435A0E4D">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重复1</w:t>
            </w:r>
          </w:p>
        </w:tc>
        <w:tc>
          <w:tcPr>
            <w:tcW w:w="692" w:type="dxa"/>
            <w:tcBorders>
              <w:bottom w:val="single" w:color="auto" w:sz="4" w:space="0"/>
            </w:tcBorders>
            <w:vAlign w:val="center"/>
          </w:tcPr>
          <w:p w14:paraId="329FC167">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重复2</w:t>
            </w:r>
          </w:p>
        </w:tc>
        <w:tc>
          <w:tcPr>
            <w:tcW w:w="692" w:type="dxa"/>
            <w:tcBorders>
              <w:bottom w:val="single" w:color="auto" w:sz="4" w:space="0"/>
            </w:tcBorders>
            <w:vAlign w:val="center"/>
          </w:tcPr>
          <w:p w14:paraId="381C65FB">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重复3</w:t>
            </w:r>
          </w:p>
        </w:tc>
        <w:tc>
          <w:tcPr>
            <w:tcW w:w="692" w:type="dxa"/>
            <w:tcBorders>
              <w:bottom w:val="single" w:color="auto" w:sz="4" w:space="0"/>
            </w:tcBorders>
            <w:vAlign w:val="center"/>
          </w:tcPr>
          <w:p w14:paraId="0A15C538">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重复1</w:t>
            </w:r>
          </w:p>
        </w:tc>
        <w:tc>
          <w:tcPr>
            <w:tcW w:w="692" w:type="dxa"/>
            <w:tcBorders>
              <w:bottom w:val="single" w:color="auto" w:sz="4" w:space="0"/>
            </w:tcBorders>
            <w:vAlign w:val="center"/>
          </w:tcPr>
          <w:p w14:paraId="1989AC36">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重复2</w:t>
            </w:r>
          </w:p>
        </w:tc>
        <w:tc>
          <w:tcPr>
            <w:tcW w:w="698" w:type="dxa"/>
            <w:tcBorders>
              <w:bottom w:val="single" w:color="auto" w:sz="4" w:space="0"/>
            </w:tcBorders>
            <w:vAlign w:val="center"/>
          </w:tcPr>
          <w:p w14:paraId="048FA359">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b/>
                <w:sz w:val="18"/>
                <w:szCs w:val="18"/>
              </w:rPr>
              <w:t>重复3</w:t>
            </w:r>
          </w:p>
        </w:tc>
      </w:tr>
      <w:tr w14:paraId="7FA7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5055EB5B">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空白质控品</w:t>
            </w:r>
          </w:p>
        </w:tc>
        <w:tc>
          <w:tcPr>
            <w:tcW w:w="692" w:type="dxa"/>
            <w:vAlign w:val="center"/>
          </w:tcPr>
          <w:p w14:paraId="4B5B0F7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B3D4BB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963495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4228B6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57505B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2E3009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FA4256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9B46CD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72273D2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488C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47F2F4A6">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阴性质控品</w:t>
            </w:r>
          </w:p>
        </w:tc>
        <w:tc>
          <w:tcPr>
            <w:tcW w:w="692" w:type="dxa"/>
            <w:vAlign w:val="center"/>
          </w:tcPr>
          <w:p w14:paraId="6C349B5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58B274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3B3875E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23C310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09AD371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282FCF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32DDD70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2" w:type="dxa"/>
            <w:vAlign w:val="center"/>
          </w:tcPr>
          <w:p w14:paraId="7395A0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98" w:type="dxa"/>
            <w:vAlign w:val="center"/>
          </w:tcPr>
          <w:p w14:paraId="4807C9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219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1CC9949A">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阳性质控品</w:t>
            </w:r>
          </w:p>
        </w:tc>
        <w:tc>
          <w:tcPr>
            <w:tcW w:w="692" w:type="dxa"/>
            <w:vAlign w:val="center"/>
          </w:tcPr>
          <w:p w14:paraId="16F9D55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7FE5AA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55B43D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718187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34CB31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670FF3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A39A18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8E6DCF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2856223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5F0E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50A29AAC">
            <w:pPr>
              <w:widowControl/>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1% </w:t>
            </w:r>
            <w:r>
              <w:rPr>
                <w:rFonts w:hint="eastAsia" w:cs="Times New Roman"/>
                <w:bCs/>
                <w:sz w:val="18"/>
                <w:szCs w:val="18"/>
                <w:lang w:eastAsia="zh-CN"/>
              </w:rPr>
              <w:t>QY2569-42</w:t>
            </w:r>
            <w:r>
              <w:rPr>
                <w:rFonts w:hint="default" w:ascii="Times New Roman" w:hAnsi="Times New Roman" w:eastAsia="宋体" w:cs="Times New Roman"/>
                <w:bCs/>
                <w:sz w:val="18"/>
                <w:szCs w:val="18"/>
              </w:rPr>
              <w:t>玉米</w:t>
            </w:r>
          </w:p>
        </w:tc>
        <w:tc>
          <w:tcPr>
            <w:tcW w:w="692" w:type="dxa"/>
            <w:vAlign w:val="center"/>
          </w:tcPr>
          <w:p w14:paraId="375F1E7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EE05FD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1AACD4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FAB82F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59CBA2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2C9B80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15796E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978596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5BEBE2A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538E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68207CC5">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其它转基因玉米混合样</w:t>
            </w:r>
          </w:p>
        </w:tc>
        <w:tc>
          <w:tcPr>
            <w:tcW w:w="692" w:type="dxa"/>
            <w:vAlign w:val="center"/>
          </w:tcPr>
          <w:p w14:paraId="54C129E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F5E30C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145EFA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86C637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DECF74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3DFC9B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759474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D8C164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35475F5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3A29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50E897CA">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w:t>
            </w:r>
            <w:r>
              <w:rPr>
                <w:rFonts w:hint="default" w:ascii="Times New Roman" w:hAnsi="Times New Roman" w:eastAsia="宋体" w:cs="Times New Roman"/>
                <w:bCs/>
                <w:sz w:val="18"/>
                <w:szCs w:val="18"/>
                <w:lang w:eastAsia="zh-CN"/>
              </w:rPr>
              <w:t>大豆</w:t>
            </w:r>
            <w:r>
              <w:rPr>
                <w:rFonts w:hint="default" w:ascii="Times New Roman" w:hAnsi="Times New Roman" w:eastAsia="宋体" w:cs="Times New Roman"/>
                <w:bCs/>
                <w:sz w:val="18"/>
                <w:szCs w:val="18"/>
              </w:rPr>
              <w:t>混合样</w:t>
            </w:r>
          </w:p>
        </w:tc>
        <w:tc>
          <w:tcPr>
            <w:tcW w:w="692" w:type="dxa"/>
            <w:vAlign w:val="center"/>
          </w:tcPr>
          <w:p w14:paraId="7677219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3BD4E1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D847A9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D8AC25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C7C7D6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32DAA51">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974B28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6E6AEE5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439DE3A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4D68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245A1F1A">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转基因水稻混合样</w:t>
            </w:r>
          </w:p>
        </w:tc>
        <w:tc>
          <w:tcPr>
            <w:tcW w:w="692" w:type="dxa"/>
            <w:vAlign w:val="center"/>
          </w:tcPr>
          <w:p w14:paraId="5B95CA8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2E8CD5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E9F7F5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CCA76F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62CB25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1950F4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FF1CC0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698E7C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66829CF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69D0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1A169383">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转基因棉花混合样</w:t>
            </w:r>
          </w:p>
        </w:tc>
        <w:tc>
          <w:tcPr>
            <w:tcW w:w="692" w:type="dxa"/>
            <w:vAlign w:val="center"/>
          </w:tcPr>
          <w:p w14:paraId="0DEDA3F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AD939A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8EC421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5FF4D5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AF29D93">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0469F0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A38137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4CD1E54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090F419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24CC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5ED7F440">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转基因油菜混合样</w:t>
            </w:r>
          </w:p>
        </w:tc>
        <w:tc>
          <w:tcPr>
            <w:tcW w:w="692" w:type="dxa"/>
            <w:vAlign w:val="center"/>
          </w:tcPr>
          <w:p w14:paraId="151A50E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1FCABB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6C7FEB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54EE85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425830F">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654F08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22BA59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FC8D7F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622AC1B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5BCA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44AC9320">
            <w:pPr>
              <w:widowControl/>
              <w:jc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sz w:val="18"/>
                <w:szCs w:val="18"/>
              </w:rPr>
              <w:t>非转基因玉米混合样</w:t>
            </w:r>
          </w:p>
        </w:tc>
        <w:tc>
          <w:tcPr>
            <w:tcW w:w="692" w:type="dxa"/>
            <w:vAlign w:val="center"/>
          </w:tcPr>
          <w:p w14:paraId="1523BC5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CE9654C">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E4EF4CB">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27241C7D">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965F6D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89F38B0">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9046BCE">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90D9925">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77997FF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r w14:paraId="330F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0" w:type="dxa"/>
            <w:vAlign w:val="center"/>
          </w:tcPr>
          <w:p w14:paraId="7AEF0A9F">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 xml:space="preserve">0.1% </w:t>
            </w:r>
            <w:r>
              <w:rPr>
                <w:rFonts w:hint="eastAsia" w:cs="Times New Roman"/>
                <w:bCs/>
                <w:sz w:val="18"/>
                <w:szCs w:val="18"/>
                <w:lang w:eastAsia="zh-CN"/>
              </w:rPr>
              <w:t>QY2569-42</w:t>
            </w:r>
            <w:r>
              <w:rPr>
                <w:rFonts w:hint="default" w:ascii="Times New Roman" w:hAnsi="Times New Roman" w:eastAsia="宋体" w:cs="Times New Roman"/>
                <w:bCs/>
                <w:sz w:val="18"/>
                <w:szCs w:val="18"/>
              </w:rPr>
              <w:t>玉米</w:t>
            </w:r>
          </w:p>
          <w:p w14:paraId="12AF6D1C">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（检出限）</w:t>
            </w:r>
          </w:p>
        </w:tc>
        <w:tc>
          <w:tcPr>
            <w:tcW w:w="692" w:type="dxa"/>
            <w:vAlign w:val="center"/>
          </w:tcPr>
          <w:p w14:paraId="28FAFC66">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FFF372A">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579313F2">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3F7435D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1C3C8174">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BC5BF2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7934E2C7">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2" w:type="dxa"/>
            <w:vAlign w:val="center"/>
          </w:tcPr>
          <w:p w14:paraId="032FAAE8">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c>
          <w:tcPr>
            <w:tcW w:w="698" w:type="dxa"/>
            <w:vAlign w:val="center"/>
          </w:tcPr>
          <w:p w14:paraId="040AF5A9">
            <w:pPr>
              <w:jc w:val="center"/>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w:t>
            </w:r>
          </w:p>
        </w:tc>
      </w:tr>
    </w:tbl>
    <w:p w14:paraId="773B36F6">
      <w:pPr>
        <w:ind w:firstLine="360" w:firstLineChars="200"/>
        <w:jc w:val="left"/>
        <w:rPr>
          <w:rFonts w:hint="default" w:ascii="Times New Roman" w:hAnsi="Times New Roman" w:eastAsia="宋体" w:cs="Times New Roman"/>
          <w:bCs/>
          <w:sz w:val="18"/>
          <w:szCs w:val="18"/>
          <w:lang w:eastAsia="zh-CN"/>
        </w:rPr>
      </w:pPr>
      <w:r>
        <w:rPr>
          <w:rFonts w:hint="default" w:ascii="Times New Roman" w:hAnsi="Times New Roman" w:eastAsia="宋体" w:cs="Times New Roman"/>
          <w:bCs/>
          <w:sz w:val="18"/>
          <w:szCs w:val="18"/>
          <w:lang w:eastAsia="zh-CN"/>
        </w:rPr>
        <w:t>注：“+”表示阳性结果，“—”表示阴性结果，“/”表示不需验证。</w:t>
      </w:r>
    </w:p>
    <w:p w14:paraId="4A3C0A20">
      <w:pPr>
        <w:pStyle w:val="4"/>
        <w:numPr>
          <w:ilvl w:val="0"/>
          <w:numId w:val="0"/>
        </w:numPr>
        <w:bidi w:val="0"/>
        <w:spacing w:before="50" w:beforeLines="50" w:after="50" w:afterLines="50" w:line="240" w:lineRule="auto"/>
        <w:ind w:firstLine="420" w:firstLineChars="200"/>
        <w:rPr>
          <w:rFonts w:ascii="Times New Roman" w:hAnsi="Times New Roman" w:eastAsia="黑体" w:cs="Calibri"/>
          <w:b w:val="0"/>
          <w:sz w:val="21"/>
        </w:rPr>
      </w:pPr>
      <w:r>
        <w:rPr>
          <w:rFonts w:hint="eastAsia" w:ascii="Times New Roman" w:hAnsi="Times New Roman" w:eastAsia="黑体" w:cs="Calibri"/>
          <w:b w:val="0"/>
          <w:sz w:val="21"/>
          <w:lang w:val="en-US" w:eastAsia="zh-CN"/>
        </w:rPr>
        <w:t>3.</w:t>
      </w:r>
      <w:r>
        <w:rPr>
          <w:rFonts w:ascii="Times New Roman" w:hAnsi="Times New Roman" w:eastAsia="黑体" w:cs="Calibri"/>
          <w:b w:val="0"/>
          <w:sz w:val="21"/>
        </w:rPr>
        <w:t>2</w:t>
      </w:r>
      <w:r>
        <w:rPr>
          <w:rFonts w:hint="eastAsia" w:ascii="Times New Roman" w:hAnsi="Times New Roman" w:eastAsia="黑体" w:cs="Calibri"/>
          <w:b w:val="0"/>
          <w:sz w:val="21"/>
          <w:lang w:val="en-US" w:eastAsia="zh-CN"/>
        </w:rPr>
        <w:t xml:space="preserve"> </w:t>
      </w:r>
      <w:r>
        <w:rPr>
          <w:rFonts w:ascii="Times New Roman" w:hAnsi="Times New Roman" w:eastAsia="黑体" w:cs="Calibri"/>
          <w:b w:val="0"/>
          <w:sz w:val="21"/>
        </w:rPr>
        <w:t>检出限</w:t>
      </w:r>
    </w:p>
    <w:p w14:paraId="23F316C8">
      <w:pPr>
        <w:pStyle w:val="8"/>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8个实验室分别对拷贝数比值为0.1%的</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样品（本方法的检出限是在PCR检测反应体系中加入100 ng DNA模板进行测算的，相当于反应体系中含有40拷贝的</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转化体特异性序列）进行了普通PCR测试，结果显示8个实验室共计72个反应均能检测出预期DNA片段，见</w:t>
      </w:r>
      <w:r>
        <w:rPr>
          <w:rFonts w:hint="eastAsia" w:ascii="Times New Roman" w:hAnsi="Times New Roman" w:eastAsia="宋体" w:cs="Times New Roman"/>
          <w:sz w:val="21"/>
          <w:szCs w:val="21"/>
          <w:lang w:eastAsia="zh-CN"/>
        </w:rPr>
        <w:t>表</w:t>
      </w:r>
      <w:r>
        <w:rPr>
          <w:rFonts w:hint="eastAsia" w:ascii="Times New Roman" w:hAnsi="Times New Roman" w:eastAsia="宋体" w:cs="Times New Roman"/>
          <w:sz w:val="21"/>
          <w:szCs w:val="21"/>
          <w:lang w:val="en-US" w:eastAsia="zh-CN"/>
        </w:rPr>
        <w:t>3-17</w:t>
      </w:r>
      <w:r>
        <w:rPr>
          <w:rFonts w:hint="default" w:ascii="Times New Roman" w:hAnsi="Times New Roman" w:eastAsia="宋体" w:cs="Times New Roman"/>
          <w:sz w:val="21"/>
          <w:szCs w:val="21"/>
        </w:rPr>
        <w:t>，与实验室内测试出的LOD值相符。表明本方法中抗虫耐除草剂玉米</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转化体特异性序列普通PCR方法的检出限为0.1%，相当于反应体系中含有40拷贝的</w:t>
      </w:r>
      <w:r>
        <w:rPr>
          <w:rFonts w:hint="eastAsia" w:ascii="Times New Roman" w:hAnsi="Times New Roman" w:eastAsia="宋体" w:cs="Times New Roman"/>
          <w:sz w:val="21"/>
          <w:szCs w:val="21"/>
          <w:lang w:eastAsia="zh-CN"/>
        </w:rPr>
        <w:t>QY2569-42</w:t>
      </w:r>
      <w:r>
        <w:rPr>
          <w:rFonts w:hint="default" w:ascii="Times New Roman" w:hAnsi="Times New Roman" w:eastAsia="宋体" w:cs="Times New Roman"/>
          <w:sz w:val="21"/>
          <w:szCs w:val="21"/>
        </w:rPr>
        <w:t>转化体特异性序列。</w:t>
      </w:r>
    </w:p>
    <w:p w14:paraId="00F4FB9B">
      <w:pPr>
        <w:pStyle w:val="22"/>
        <w:spacing w:line="240" w:lineRule="auto"/>
        <w:jc w:val="center"/>
        <w:rPr>
          <w:rFonts w:hint="default" w:ascii="Times New Roman" w:hAnsi="Times New Roman" w:eastAsia="黑体" w:cs="Calibri"/>
          <w:kern w:val="2"/>
          <w:sz w:val="18"/>
          <w:szCs w:val="22"/>
          <w:lang w:val="en-US" w:eastAsia="zh-CN" w:bidi="ar-SA"/>
        </w:rPr>
      </w:pPr>
      <w:r>
        <w:rPr>
          <w:rFonts w:hint="eastAsia" w:ascii="Times New Roman" w:eastAsia="黑体" w:cs="Calibri"/>
          <w:kern w:val="2"/>
          <w:sz w:val="18"/>
          <w:szCs w:val="22"/>
          <w:lang w:val="en-US" w:eastAsia="zh-CN" w:bidi="ar-SA"/>
        </w:rPr>
        <w:t>表3-17</w:t>
      </w:r>
      <w:r>
        <w:rPr>
          <w:rFonts w:hint="default" w:ascii="Times New Roman" w:hAnsi="Times New Roman" w:eastAsia="黑体" w:cs="Calibri"/>
          <w:kern w:val="2"/>
          <w:sz w:val="18"/>
          <w:szCs w:val="22"/>
          <w:lang w:val="en-US" w:eastAsia="zh-CN" w:bidi="ar-SA"/>
        </w:rPr>
        <w:t xml:space="preserve"> 普通PCR方法检出限实验室间测试结果</w:t>
      </w:r>
    </w:p>
    <w:tbl>
      <w:tblPr>
        <w:tblStyle w:val="16"/>
        <w:tblW w:w="7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0"/>
        <w:gridCol w:w="724"/>
        <w:gridCol w:w="724"/>
        <w:gridCol w:w="724"/>
        <w:gridCol w:w="724"/>
        <w:gridCol w:w="724"/>
        <w:gridCol w:w="724"/>
        <w:gridCol w:w="724"/>
        <w:gridCol w:w="724"/>
        <w:gridCol w:w="727"/>
      </w:tblGrid>
      <w:tr w14:paraId="6322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tblHeader/>
          <w:jc w:val="center"/>
        </w:trPr>
        <w:tc>
          <w:tcPr>
            <w:tcW w:w="740" w:type="dxa"/>
            <w:vMerge w:val="restart"/>
            <w:tcMar>
              <w:top w:w="15" w:type="dxa"/>
              <w:left w:w="15" w:type="dxa"/>
              <w:right w:w="15" w:type="dxa"/>
            </w:tcMar>
            <w:vAlign w:val="center"/>
          </w:tcPr>
          <w:p w14:paraId="2359B9B4">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w:t>
            </w:r>
          </w:p>
        </w:tc>
        <w:tc>
          <w:tcPr>
            <w:tcW w:w="6519" w:type="dxa"/>
            <w:gridSpan w:val="9"/>
            <w:tcMar>
              <w:top w:w="15" w:type="dxa"/>
              <w:left w:w="15" w:type="dxa"/>
              <w:right w:w="15" w:type="dxa"/>
            </w:tcMar>
            <w:vAlign w:val="center"/>
          </w:tcPr>
          <w:p w14:paraId="64594A3A">
            <w:pPr>
              <w:widowControl/>
              <w:jc w:val="center"/>
              <w:textAlignment w:val="center"/>
              <w:rPr>
                <w:rFonts w:hint="default" w:ascii="Times New Roman" w:hAnsi="Times New Roman" w:eastAsia="宋体" w:cs="Times New Roman"/>
                <w:b/>
                <w:bCs/>
                <w:kern w:val="0"/>
                <w:sz w:val="18"/>
                <w:szCs w:val="18"/>
                <w:lang w:eastAsia="zh-CN"/>
              </w:rPr>
            </w:pPr>
            <w:r>
              <w:rPr>
                <w:rFonts w:hint="default" w:ascii="Times New Roman" w:hAnsi="Times New Roman" w:eastAsia="宋体" w:cs="Times New Roman"/>
                <w:b/>
                <w:bCs/>
                <w:kern w:val="0"/>
                <w:sz w:val="18"/>
                <w:szCs w:val="18"/>
              </w:rPr>
              <w:t xml:space="preserve">0.1% </w:t>
            </w:r>
            <w:r>
              <w:rPr>
                <w:rFonts w:hint="eastAsia" w:cs="Times New Roman"/>
                <w:b/>
                <w:bCs/>
                <w:kern w:val="0"/>
                <w:sz w:val="18"/>
                <w:szCs w:val="18"/>
                <w:lang w:eastAsia="zh-CN"/>
              </w:rPr>
              <w:t>QY2569-42</w:t>
            </w:r>
          </w:p>
        </w:tc>
      </w:tr>
      <w:tr w14:paraId="0862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tblHeader/>
          <w:jc w:val="center"/>
        </w:trPr>
        <w:tc>
          <w:tcPr>
            <w:tcW w:w="740" w:type="dxa"/>
            <w:vMerge w:val="continue"/>
            <w:tcMar>
              <w:top w:w="15" w:type="dxa"/>
              <w:left w:w="15" w:type="dxa"/>
              <w:right w:w="15" w:type="dxa"/>
            </w:tcMar>
            <w:vAlign w:val="center"/>
          </w:tcPr>
          <w:p w14:paraId="1ECB9C73">
            <w:pPr>
              <w:jc w:val="center"/>
              <w:rPr>
                <w:rFonts w:hint="default" w:ascii="Times New Roman" w:hAnsi="Times New Roman" w:eastAsia="宋体" w:cs="Times New Roman"/>
                <w:b/>
                <w:bCs/>
                <w:sz w:val="18"/>
                <w:szCs w:val="18"/>
              </w:rPr>
            </w:pPr>
          </w:p>
        </w:tc>
        <w:tc>
          <w:tcPr>
            <w:tcW w:w="724" w:type="dxa"/>
            <w:tcMar>
              <w:top w:w="15" w:type="dxa"/>
              <w:left w:w="15" w:type="dxa"/>
              <w:right w:w="15" w:type="dxa"/>
            </w:tcMar>
            <w:vAlign w:val="center"/>
          </w:tcPr>
          <w:p w14:paraId="400F8F64">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1</w:t>
            </w:r>
          </w:p>
        </w:tc>
        <w:tc>
          <w:tcPr>
            <w:tcW w:w="724" w:type="dxa"/>
            <w:tcMar>
              <w:top w:w="15" w:type="dxa"/>
              <w:left w:w="15" w:type="dxa"/>
              <w:right w:w="15" w:type="dxa"/>
            </w:tcMar>
            <w:vAlign w:val="center"/>
          </w:tcPr>
          <w:p w14:paraId="6100CB31">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2</w:t>
            </w:r>
          </w:p>
        </w:tc>
        <w:tc>
          <w:tcPr>
            <w:tcW w:w="724" w:type="dxa"/>
            <w:tcMar>
              <w:top w:w="15" w:type="dxa"/>
              <w:left w:w="15" w:type="dxa"/>
              <w:right w:w="15" w:type="dxa"/>
            </w:tcMar>
            <w:vAlign w:val="center"/>
          </w:tcPr>
          <w:p w14:paraId="6AEF1C4F">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3</w:t>
            </w:r>
          </w:p>
        </w:tc>
        <w:tc>
          <w:tcPr>
            <w:tcW w:w="724" w:type="dxa"/>
            <w:tcMar>
              <w:top w:w="15" w:type="dxa"/>
              <w:left w:w="15" w:type="dxa"/>
              <w:right w:w="15" w:type="dxa"/>
            </w:tcMar>
            <w:vAlign w:val="center"/>
          </w:tcPr>
          <w:p w14:paraId="7D207558">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4</w:t>
            </w:r>
          </w:p>
        </w:tc>
        <w:tc>
          <w:tcPr>
            <w:tcW w:w="724" w:type="dxa"/>
            <w:tcMar>
              <w:top w:w="15" w:type="dxa"/>
              <w:left w:w="15" w:type="dxa"/>
              <w:right w:w="15" w:type="dxa"/>
            </w:tcMar>
            <w:vAlign w:val="center"/>
          </w:tcPr>
          <w:p w14:paraId="7F76DC8A">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5</w:t>
            </w:r>
          </w:p>
        </w:tc>
        <w:tc>
          <w:tcPr>
            <w:tcW w:w="724" w:type="dxa"/>
            <w:tcMar>
              <w:top w:w="15" w:type="dxa"/>
              <w:left w:w="15" w:type="dxa"/>
              <w:right w:w="15" w:type="dxa"/>
            </w:tcMar>
            <w:vAlign w:val="center"/>
          </w:tcPr>
          <w:p w14:paraId="529FFC23">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6</w:t>
            </w:r>
          </w:p>
        </w:tc>
        <w:tc>
          <w:tcPr>
            <w:tcW w:w="724" w:type="dxa"/>
            <w:tcMar>
              <w:top w:w="15" w:type="dxa"/>
              <w:left w:w="15" w:type="dxa"/>
              <w:right w:w="15" w:type="dxa"/>
            </w:tcMar>
            <w:vAlign w:val="center"/>
          </w:tcPr>
          <w:p w14:paraId="114D6640">
            <w:pPr>
              <w:widowControl/>
              <w:jc w:val="center"/>
              <w:textAlignment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7</w:t>
            </w:r>
          </w:p>
        </w:tc>
        <w:tc>
          <w:tcPr>
            <w:tcW w:w="724" w:type="dxa"/>
            <w:tcMar>
              <w:top w:w="15" w:type="dxa"/>
              <w:left w:w="15" w:type="dxa"/>
              <w:right w:w="15" w:type="dxa"/>
            </w:tcMar>
            <w:vAlign w:val="center"/>
          </w:tcPr>
          <w:p w14:paraId="19335701">
            <w:pPr>
              <w:widowControl/>
              <w:jc w:val="center"/>
              <w:textAlignment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8</w:t>
            </w:r>
          </w:p>
        </w:tc>
        <w:tc>
          <w:tcPr>
            <w:tcW w:w="727" w:type="dxa"/>
            <w:tcMar>
              <w:top w:w="15" w:type="dxa"/>
              <w:left w:w="15" w:type="dxa"/>
              <w:right w:w="15" w:type="dxa"/>
            </w:tcMar>
            <w:vAlign w:val="center"/>
          </w:tcPr>
          <w:p w14:paraId="16B370F6">
            <w:pPr>
              <w:widowControl/>
              <w:jc w:val="center"/>
              <w:textAlignment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9</w:t>
            </w:r>
          </w:p>
        </w:tc>
      </w:tr>
      <w:tr w14:paraId="4CB9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38EED671">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Lab1</w:t>
            </w:r>
          </w:p>
        </w:tc>
        <w:tc>
          <w:tcPr>
            <w:tcW w:w="724" w:type="dxa"/>
            <w:tcMar>
              <w:top w:w="15" w:type="dxa"/>
              <w:left w:w="15" w:type="dxa"/>
              <w:right w:w="15" w:type="dxa"/>
            </w:tcMar>
            <w:vAlign w:val="center"/>
          </w:tcPr>
          <w:p w14:paraId="2C530C4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315B8D1F">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335CD6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F28222F">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0B007A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18DD17E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CB71CC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03B95A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429B2F2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CB5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672EC1FC">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Lab2</w:t>
            </w:r>
          </w:p>
        </w:tc>
        <w:tc>
          <w:tcPr>
            <w:tcW w:w="724" w:type="dxa"/>
            <w:tcMar>
              <w:top w:w="15" w:type="dxa"/>
              <w:left w:w="15" w:type="dxa"/>
              <w:right w:w="15" w:type="dxa"/>
            </w:tcMar>
            <w:vAlign w:val="center"/>
          </w:tcPr>
          <w:p w14:paraId="5700D51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FF63CE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81F48D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D678CD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431F34F">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4FF9EF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3DD06F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5390271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1956E52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D7A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1BFB7999">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Lab3</w:t>
            </w:r>
          </w:p>
        </w:tc>
        <w:tc>
          <w:tcPr>
            <w:tcW w:w="724" w:type="dxa"/>
            <w:tcMar>
              <w:top w:w="15" w:type="dxa"/>
              <w:left w:w="15" w:type="dxa"/>
              <w:right w:w="15" w:type="dxa"/>
            </w:tcMar>
            <w:vAlign w:val="center"/>
          </w:tcPr>
          <w:p w14:paraId="3736803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EAAB12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53A1023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300475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B208BB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C40201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19ACDE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2C078B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0CFFAFC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CC9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714E3DF8">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Lab4</w:t>
            </w:r>
          </w:p>
        </w:tc>
        <w:tc>
          <w:tcPr>
            <w:tcW w:w="724" w:type="dxa"/>
            <w:tcMar>
              <w:top w:w="15" w:type="dxa"/>
              <w:left w:w="15" w:type="dxa"/>
              <w:right w:w="15" w:type="dxa"/>
            </w:tcMar>
            <w:vAlign w:val="center"/>
          </w:tcPr>
          <w:p w14:paraId="2BCB459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15C62F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571DCF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519ECED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1E52462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BAE46E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181C37C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19BEAB3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25ED6D1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101E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11FD694A">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Lab5</w:t>
            </w:r>
          </w:p>
        </w:tc>
        <w:tc>
          <w:tcPr>
            <w:tcW w:w="724" w:type="dxa"/>
            <w:tcMar>
              <w:top w:w="15" w:type="dxa"/>
              <w:left w:w="15" w:type="dxa"/>
              <w:right w:w="15" w:type="dxa"/>
            </w:tcMar>
            <w:vAlign w:val="center"/>
          </w:tcPr>
          <w:p w14:paraId="46D63A1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C2BA43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30290DD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5CBC89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4C9D97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C74228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3C999AB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3D78380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013AF5A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536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133A0416">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Lab6</w:t>
            </w:r>
          </w:p>
        </w:tc>
        <w:tc>
          <w:tcPr>
            <w:tcW w:w="724" w:type="dxa"/>
            <w:tcMar>
              <w:top w:w="15" w:type="dxa"/>
              <w:left w:w="15" w:type="dxa"/>
              <w:right w:w="15" w:type="dxa"/>
            </w:tcMar>
            <w:vAlign w:val="center"/>
          </w:tcPr>
          <w:p w14:paraId="485886B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5DF77AE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18902B4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19FAF87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EF8248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FBA0C6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02FD94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929F38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2B96FA0F">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0E2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740" w:type="dxa"/>
            <w:tcMar>
              <w:top w:w="15" w:type="dxa"/>
              <w:left w:w="15" w:type="dxa"/>
              <w:right w:w="15" w:type="dxa"/>
            </w:tcMar>
            <w:vAlign w:val="center"/>
          </w:tcPr>
          <w:p w14:paraId="12973D75">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Lab7</w:t>
            </w:r>
          </w:p>
        </w:tc>
        <w:tc>
          <w:tcPr>
            <w:tcW w:w="724" w:type="dxa"/>
            <w:tcMar>
              <w:top w:w="15" w:type="dxa"/>
              <w:left w:w="15" w:type="dxa"/>
              <w:right w:w="15" w:type="dxa"/>
            </w:tcMar>
            <w:vAlign w:val="center"/>
          </w:tcPr>
          <w:p w14:paraId="26CDD4F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B2DBEF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AA97C0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6FB7A9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0B0C14D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7D6E9B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2E270B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2B3975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6F70D3E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140C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exact"/>
          <w:jc w:val="center"/>
        </w:trPr>
        <w:tc>
          <w:tcPr>
            <w:tcW w:w="740" w:type="dxa"/>
            <w:tcMar>
              <w:top w:w="15" w:type="dxa"/>
              <w:left w:w="15" w:type="dxa"/>
              <w:right w:w="15" w:type="dxa"/>
            </w:tcMar>
            <w:vAlign w:val="center"/>
          </w:tcPr>
          <w:p w14:paraId="4A3D305E">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Lab8</w:t>
            </w:r>
          </w:p>
        </w:tc>
        <w:tc>
          <w:tcPr>
            <w:tcW w:w="724" w:type="dxa"/>
            <w:tcMar>
              <w:top w:w="15" w:type="dxa"/>
              <w:left w:w="15" w:type="dxa"/>
              <w:right w:w="15" w:type="dxa"/>
            </w:tcMar>
            <w:vAlign w:val="center"/>
          </w:tcPr>
          <w:p w14:paraId="354F87D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7E16280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4F1460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7A5B29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6A65796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06013B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28020B1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4" w:type="dxa"/>
            <w:tcMar>
              <w:top w:w="15" w:type="dxa"/>
              <w:left w:w="15" w:type="dxa"/>
              <w:right w:w="15" w:type="dxa"/>
            </w:tcMar>
            <w:vAlign w:val="center"/>
          </w:tcPr>
          <w:p w14:paraId="4E72EE2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27" w:type="dxa"/>
            <w:tcMar>
              <w:top w:w="15" w:type="dxa"/>
              <w:left w:w="15" w:type="dxa"/>
              <w:right w:w="15" w:type="dxa"/>
            </w:tcMar>
            <w:vAlign w:val="center"/>
          </w:tcPr>
          <w:p w14:paraId="5AD9956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bl>
    <w:p w14:paraId="046F48ED">
      <w:pPr>
        <w:widowControl/>
        <w:ind w:firstLine="900" w:firstLineChars="500"/>
        <w:jc w:val="left"/>
        <w:textAlignment w:val="center"/>
        <w:rPr>
          <w:rFonts w:hint="default" w:ascii="Times New Roman" w:hAnsi="Times New Roman" w:eastAsia="宋体" w:cs="Times New Roman"/>
          <w:b w:val="0"/>
          <w:bCs w:val="0"/>
          <w:kern w:val="0"/>
          <w:sz w:val="18"/>
          <w:szCs w:val="18"/>
        </w:rPr>
      </w:pPr>
      <w:r>
        <w:rPr>
          <w:rFonts w:hint="default" w:ascii="Times New Roman" w:hAnsi="Times New Roman" w:eastAsia="宋体" w:cs="Times New Roman"/>
          <w:b w:val="0"/>
          <w:bCs w:val="0"/>
          <w:kern w:val="0"/>
          <w:sz w:val="18"/>
          <w:szCs w:val="18"/>
        </w:rPr>
        <w:t>注：“+”表示阳性结果，“—”表示阴性结果。</w:t>
      </w:r>
    </w:p>
    <w:p w14:paraId="0BFDD452">
      <w:pPr>
        <w:pStyle w:val="4"/>
        <w:numPr>
          <w:ilvl w:val="0"/>
          <w:numId w:val="5"/>
        </w:numPr>
        <w:bidi w:val="0"/>
        <w:spacing w:before="50" w:beforeLines="50" w:after="50" w:afterLines="50" w:line="240" w:lineRule="auto"/>
        <w:ind w:firstLine="420" w:firstLineChars="200"/>
        <w:rPr>
          <w:rFonts w:ascii="Times New Roman" w:hAnsi="Times New Roman" w:eastAsia="黑体" w:cs="Calibri"/>
          <w:b w:val="0"/>
          <w:sz w:val="21"/>
        </w:rPr>
      </w:pPr>
      <w:r>
        <w:rPr>
          <w:rFonts w:ascii="Times New Roman" w:hAnsi="Times New Roman" w:eastAsia="黑体" w:cs="Calibri"/>
          <w:b w:val="0"/>
          <w:sz w:val="21"/>
        </w:rPr>
        <w:t>方法验证结论</w:t>
      </w:r>
    </w:p>
    <w:p w14:paraId="1A1CE9EB">
      <w:pPr>
        <w:bidi w:val="0"/>
        <w:spacing w:line="312" w:lineRule="auto"/>
        <w:ind w:firstLine="420" w:firstLineChars="200"/>
        <w:rPr>
          <w:rFonts w:hint="eastAsia" w:ascii="Times New Roman" w:hAnsi="Times New Roman" w:eastAsia="宋体" w:cs="Calibri"/>
          <w:szCs w:val="22"/>
          <w:highlight w:val="none"/>
          <w:lang w:val="en-US" w:eastAsia="zh-CN"/>
        </w:rPr>
      </w:pPr>
      <w:r>
        <w:rPr>
          <w:rFonts w:ascii="Times New Roman" w:hAnsi="Times New Roman" w:cs="Calibri"/>
          <w:szCs w:val="22"/>
          <w:highlight w:val="none"/>
        </w:rPr>
        <w:t>8个实验室对本检测方法的验证结果表明，本方法的主要技术参数（特异性、检出限、定量限、标准曲线的决定系数、斜率、扩增效率、重复性和重演性、正确度和精密度等）全部符合</w:t>
      </w:r>
      <w:r>
        <w:rPr>
          <w:rFonts w:hint="eastAsia" w:cs="Calibri"/>
          <w:szCs w:val="22"/>
          <w:highlight w:val="none"/>
          <w:lang w:eastAsia="zh-CN"/>
        </w:rPr>
        <w:t>农业部2259号公告—4—2015</w:t>
      </w:r>
      <w:r>
        <w:rPr>
          <w:rFonts w:ascii="Times New Roman" w:hAnsi="Times New Roman" w:cs="Calibri"/>
          <w:szCs w:val="22"/>
          <w:highlight w:val="none"/>
        </w:rPr>
        <w:t>、</w:t>
      </w:r>
      <w:r>
        <w:rPr>
          <w:rFonts w:hint="eastAsia" w:cs="Calibri"/>
          <w:szCs w:val="22"/>
          <w:highlight w:val="none"/>
          <w:lang w:eastAsia="zh-CN"/>
        </w:rPr>
        <w:t>农业部2259号公告—5—2015</w:t>
      </w:r>
      <w:r>
        <w:rPr>
          <w:rFonts w:hint="eastAsia" w:ascii="Times New Roman" w:hAnsi="Times New Roman" w:cs="Calibri"/>
          <w:szCs w:val="22"/>
          <w:highlight w:val="none"/>
          <w:lang w:eastAsia="zh-CN"/>
        </w:rPr>
        <w:t>和</w:t>
      </w:r>
      <w:r>
        <w:rPr>
          <w:rFonts w:hint="eastAsia" w:ascii="Times New Roman" w:hAnsi="Times New Roman" w:cs="Calibri"/>
          <w:szCs w:val="22"/>
          <w:highlight w:val="none"/>
        </w:rPr>
        <w:t>GB/T6379.2-2004</w:t>
      </w:r>
      <w:r>
        <w:rPr>
          <w:rFonts w:ascii="Times New Roman" w:hAnsi="Times New Roman" w:cs="Calibri"/>
          <w:szCs w:val="22"/>
          <w:highlight w:val="none"/>
        </w:rPr>
        <w:t>等相关标准的要求</w:t>
      </w:r>
      <w:r>
        <w:rPr>
          <w:rFonts w:hint="eastAsia" w:cs="Calibri"/>
          <w:szCs w:val="22"/>
          <w:highlight w:val="none"/>
          <w:lang w:eastAsia="zh-CN"/>
        </w:rPr>
        <w:t>。</w:t>
      </w:r>
    </w:p>
    <w:p w14:paraId="1842A74C">
      <w:pPr>
        <w:pStyle w:val="4"/>
        <w:numPr>
          <w:ilvl w:val="0"/>
          <w:numId w:val="5"/>
        </w:numPr>
        <w:bidi w:val="0"/>
        <w:spacing w:before="50" w:beforeLines="50" w:after="50" w:afterLines="50" w:line="240" w:lineRule="auto"/>
        <w:ind w:firstLine="420" w:firstLineChars="200"/>
        <w:rPr>
          <w:rFonts w:ascii="Times New Roman" w:hAnsi="Times New Roman" w:eastAsia="黑体" w:cs="Calibri"/>
          <w:b w:val="0"/>
          <w:sz w:val="21"/>
        </w:rPr>
      </w:pPr>
      <w:r>
        <w:rPr>
          <w:rFonts w:hint="eastAsia" w:ascii="Times New Roman" w:hAnsi="Times New Roman" w:eastAsia="黑体" w:cs="Calibri"/>
          <w:b w:val="0"/>
          <w:sz w:val="21"/>
        </w:rPr>
        <w:t>阳性定量质控品设置</w:t>
      </w:r>
    </w:p>
    <w:p w14:paraId="71F8489F">
      <w:pPr>
        <w:bidi w:val="0"/>
        <w:spacing w:line="312" w:lineRule="auto"/>
        <w:ind w:firstLine="420" w:firstLineChars="200"/>
        <w:rPr>
          <w:rFonts w:ascii="Times New Roman" w:hAnsi="Times New Roman" w:cs="Calibri"/>
          <w:szCs w:val="22"/>
        </w:rPr>
      </w:pPr>
      <w:r>
        <w:rPr>
          <w:rFonts w:ascii="Times New Roman" w:hAnsi="Times New Roman" w:cs="Calibri"/>
          <w:szCs w:val="22"/>
        </w:rPr>
        <w:t>阳性定量质控品宜优先选用与标识阈值相当的有证标准物质。若无有证标准物质，则使用实验室配置样品，此样品转基因含量值应与标识阈值相当。阳性定量质控品是在定量检测过程中，用于试样检测数据合格判定的质量控制样品。按照</w:t>
      </w:r>
      <w:r>
        <w:rPr>
          <w:rFonts w:hint="eastAsia" w:ascii="Times New Roman" w:hAnsi="Times New Roman" w:cs="Calibri"/>
          <w:szCs w:val="22"/>
          <w:lang w:eastAsia="zh-CN"/>
        </w:rPr>
        <w:t>“</w:t>
      </w:r>
      <w:r>
        <w:rPr>
          <w:rFonts w:ascii="Times New Roman" w:hAnsi="Times New Roman" w:cs="Calibri"/>
          <w:szCs w:val="22"/>
        </w:rPr>
        <w:t>正确度和精密度结果判定</w:t>
      </w:r>
      <w:r>
        <w:rPr>
          <w:rFonts w:hint="eastAsia" w:ascii="Times New Roman" w:hAnsi="Times New Roman" w:cs="Calibri"/>
          <w:szCs w:val="22"/>
          <w:lang w:eastAsia="zh-CN"/>
        </w:rPr>
        <w:t>”</w:t>
      </w:r>
      <w:r>
        <w:rPr>
          <w:rFonts w:ascii="Times New Roman" w:hAnsi="Times New Roman" w:cs="Calibri"/>
          <w:szCs w:val="22"/>
        </w:rPr>
        <w:t>执行。</w:t>
      </w:r>
    </w:p>
    <w:p w14:paraId="2F62C8CB">
      <w:pPr>
        <w:pStyle w:val="22"/>
        <w:spacing w:line="240" w:lineRule="auto"/>
        <w:jc w:val="center"/>
        <w:rPr>
          <w:rFonts w:hint="default" w:ascii="Times New Roman" w:hAnsi="Times New Roman" w:eastAsia="黑体" w:cs="Calibri"/>
          <w:kern w:val="2"/>
          <w:sz w:val="18"/>
          <w:szCs w:val="22"/>
          <w:lang w:val="en-US" w:eastAsia="zh-CN" w:bidi="ar-SA"/>
        </w:rPr>
      </w:pPr>
      <w:r>
        <w:rPr>
          <w:rFonts w:hint="default" w:ascii="Times New Roman" w:hAnsi="Times New Roman" w:eastAsia="黑体" w:cs="Calibri"/>
          <w:kern w:val="2"/>
          <w:sz w:val="18"/>
          <w:szCs w:val="22"/>
          <w:lang w:val="en-US" w:eastAsia="zh-CN" w:bidi="ar-SA"/>
        </w:rPr>
        <w:t>表</w:t>
      </w:r>
      <w:r>
        <w:rPr>
          <w:rFonts w:hint="eastAsia" w:ascii="Times New Roman" w:eastAsia="黑体" w:cs="Calibri"/>
          <w:kern w:val="2"/>
          <w:sz w:val="18"/>
          <w:szCs w:val="22"/>
          <w:lang w:val="en-US" w:eastAsia="zh-CN" w:bidi="ar-SA"/>
        </w:rPr>
        <w:t>3-18</w:t>
      </w:r>
      <w:r>
        <w:rPr>
          <w:rFonts w:hint="default" w:ascii="Times New Roman" w:hAnsi="Times New Roman" w:eastAsia="黑体" w:cs="Calibri"/>
          <w:kern w:val="2"/>
          <w:sz w:val="18"/>
          <w:szCs w:val="22"/>
          <w:lang w:val="en-US" w:eastAsia="zh-CN" w:bidi="ar-SA"/>
        </w:rPr>
        <w:t xml:space="preserve"> 阳性定量质控品测量值结果统计</w:t>
      </w:r>
    </w:p>
    <w:tbl>
      <w:tblPr>
        <w:tblStyle w:val="16"/>
        <w:tblpPr w:leftFromText="180" w:rightFromText="180" w:vertAnchor="text" w:tblpX="1" w:tblpY="1"/>
        <w:tblOverlap w:val="never"/>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9"/>
        <w:gridCol w:w="661"/>
        <w:gridCol w:w="661"/>
        <w:gridCol w:w="661"/>
        <w:gridCol w:w="661"/>
        <w:gridCol w:w="661"/>
        <w:gridCol w:w="661"/>
        <w:gridCol w:w="661"/>
        <w:gridCol w:w="665"/>
        <w:gridCol w:w="536"/>
        <w:gridCol w:w="654"/>
        <w:gridCol w:w="653"/>
        <w:gridCol w:w="579"/>
      </w:tblGrid>
      <w:tr w14:paraId="7A3C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AFC2DA">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子样个数</w:t>
            </w:r>
          </w:p>
        </w:tc>
        <w:tc>
          <w:tcPr>
            <w:tcW w:w="5292"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6437D1">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阳性定量质控品含量测量值(%)</w:t>
            </w:r>
          </w:p>
        </w:tc>
        <w:tc>
          <w:tcPr>
            <w:tcW w:w="536"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52C94B2">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mean</w:t>
            </w:r>
          </w:p>
        </w:tc>
        <w:tc>
          <w:tcPr>
            <w:tcW w:w="654"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7A0E58">
            <w:pPr>
              <w:widowControl/>
              <w:jc w:val="center"/>
              <w:textAlignment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rPr>
              <w:t>r</w:t>
            </w:r>
          </w:p>
          <w:p w14:paraId="461E97E3">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w:t>
            </w:r>
          </w:p>
        </w:tc>
        <w:tc>
          <w:tcPr>
            <w:tcW w:w="653"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741F8FC">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i/>
                <w:iCs/>
                <w:kern w:val="0"/>
                <w:sz w:val="18"/>
                <w:szCs w:val="18"/>
              </w:rPr>
              <w:t>RSD</w:t>
            </w:r>
            <w:r>
              <w:rPr>
                <w:rFonts w:hint="default" w:ascii="Times New Roman" w:hAnsi="Times New Roman" w:eastAsia="宋体" w:cs="Times New Roman"/>
                <w:b/>
                <w:bCs/>
                <w:kern w:val="0"/>
                <w:sz w:val="18"/>
                <w:szCs w:val="18"/>
                <w:vertAlign w:val="subscript"/>
              </w:rPr>
              <w:t>R</w:t>
            </w:r>
            <w:r>
              <w:rPr>
                <w:rFonts w:hint="default" w:ascii="Times New Roman" w:hAnsi="Times New Roman" w:eastAsia="宋体" w:cs="Times New Roman"/>
                <w:b/>
                <w:bCs/>
                <w:kern w:val="0"/>
                <w:sz w:val="18"/>
                <w:szCs w:val="18"/>
              </w:rPr>
              <w:t>（%）</w:t>
            </w:r>
          </w:p>
        </w:tc>
        <w:tc>
          <w:tcPr>
            <w:tcW w:w="579" w:type="dxa"/>
            <w:vMerge w:val="restart"/>
            <w:tcBorders>
              <w:top w:val="single" w:color="auto" w:sz="4" w:space="0"/>
              <w:left w:val="single" w:color="auto" w:sz="4" w:space="0"/>
              <w:right w:val="single" w:color="auto" w:sz="4" w:space="0"/>
            </w:tcBorders>
          </w:tcPr>
          <w:p w14:paraId="431A5F1D">
            <w:pPr>
              <w:widowControl/>
              <w:jc w:val="center"/>
              <w:textAlignment w:val="center"/>
              <w:rPr>
                <w:rFonts w:hint="default" w:ascii="Times New Roman" w:hAnsi="Times New Roman" w:eastAsia="宋体" w:cs="Times New Roman"/>
                <w:b/>
                <w:bCs/>
                <w:kern w:val="0"/>
                <w:sz w:val="18"/>
                <w:szCs w:val="18"/>
              </w:rPr>
            </w:pPr>
            <w:r>
              <w:rPr>
                <w:rFonts w:hint="eastAsia" w:cs="Times New Roman"/>
                <w:b/>
                <w:bCs/>
                <w:i/>
                <w:iCs/>
                <w:kern w:val="0"/>
                <w:sz w:val="18"/>
                <w:szCs w:val="18"/>
                <w:lang w:eastAsia="zh-CN"/>
              </w:rPr>
              <w:t>bias</w:t>
            </w:r>
            <w:r>
              <w:rPr>
                <w:rFonts w:hint="default" w:ascii="Times New Roman" w:hAnsi="Times New Roman" w:eastAsia="宋体" w:cs="Times New Roman"/>
                <w:b/>
                <w:bCs/>
                <w:kern w:val="0"/>
                <w:sz w:val="18"/>
                <w:szCs w:val="18"/>
              </w:rPr>
              <w:t>（%）</w:t>
            </w:r>
          </w:p>
        </w:tc>
      </w:tr>
      <w:tr w14:paraId="308F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vMerge w:val="continue"/>
            <w:tcBorders>
              <w:top w:val="single" w:color="auto" w:sz="4" w:space="0"/>
              <w:left w:val="single" w:color="auto" w:sz="4" w:space="0"/>
              <w:bottom w:val="single" w:color="auto" w:sz="4" w:space="0"/>
              <w:right w:val="single" w:color="auto" w:sz="4" w:space="0"/>
            </w:tcBorders>
            <w:vAlign w:val="center"/>
          </w:tcPr>
          <w:p w14:paraId="71A384E3">
            <w:pPr>
              <w:widowControl/>
              <w:jc w:val="center"/>
              <w:textAlignment w:val="center"/>
              <w:rPr>
                <w:rFonts w:hint="default" w:ascii="Times New Roman" w:hAnsi="Times New Roman" w:eastAsia="宋体" w:cs="Times New Roman"/>
                <w:b/>
                <w:bCs/>
                <w:sz w:val="18"/>
                <w:szCs w:val="18"/>
              </w:rPr>
            </w:pP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A2096A">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Lab1</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E991E69">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Lab2</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71FF3C1">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Lab3</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812439">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Lab4</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A15C0D9">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Lab5</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F26485F">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Lab6</w:t>
            </w:r>
          </w:p>
        </w:tc>
        <w:tc>
          <w:tcPr>
            <w:tcW w:w="6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05E79E">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Lab7</w:t>
            </w:r>
          </w:p>
        </w:tc>
        <w:tc>
          <w:tcPr>
            <w:tcW w:w="6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6C566A8">
            <w:pPr>
              <w:widowControl/>
              <w:jc w:val="center"/>
              <w:textAlignment w:val="center"/>
              <w:rPr>
                <w:rFonts w:hint="default" w:ascii="Times New Roman" w:hAnsi="Times New Roman" w:eastAsia="宋体" w:cs="Times New Roman"/>
                <w:b/>
                <w:bCs/>
                <w:sz w:val="18"/>
                <w:szCs w:val="18"/>
              </w:rPr>
            </w:pPr>
            <w:r>
              <w:rPr>
                <w:rFonts w:hint="default" w:ascii="Times New Roman" w:hAnsi="Times New Roman" w:eastAsia="宋体" w:cs="Times New Roman"/>
                <w:b/>
                <w:bCs/>
                <w:kern w:val="0"/>
                <w:sz w:val="18"/>
                <w:szCs w:val="18"/>
              </w:rPr>
              <w:t>Lab8</w:t>
            </w:r>
          </w:p>
        </w:tc>
        <w:tc>
          <w:tcPr>
            <w:tcW w:w="536" w:type="dxa"/>
            <w:vMerge w:val="continue"/>
            <w:tcBorders>
              <w:top w:val="single" w:color="auto" w:sz="4" w:space="0"/>
              <w:left w:val="single" w:color="auto" w:sz="4" w:space="0"/>
              <w:bottom w:val="single" w:color="auto" w:sz="4" w:space="0"/>
              <w:right w:val="single" w:color="auto" w:sz="4" w:space="0"/>
            </w:tcBorders>
            <w:vAlign w:val="center"/>
          </w:tcPr>
          <w:p w14:paraId="2E1E3F22">
            <w:pPr>
              <w:widowControl/>
              <w:jc w:val="left"/>
              <w:rPr>
                <w:rFonts w:hint="default" w:ascii="Times New Roman" w:hAnsi="Times New Roman" w:eastAsia="宋体" w:cs="Times New Roman"/>
                <w:b/>
                <w:bCs/>
                <w:sz w:val="18"/>
                <w:szCs w:val="18"/>
              </w:rPr>
            </w:pPr>
          </w:p>
        </w:tc>
        <w:tc>
          <w:tcPr>
            <w:tcW w:w="654" w:type="dxa"/>
            <w:vMerge w:val="continue"/>
            <w:tcBorders>
              <w:top w:val="single" w:color="auto" w:sz="4" w:space="0"/>
              <w:left w:val="single" w:color="auto" w:sz="4" w:space="0"/>
              <w:bottom w:val="single" w:color="auto" w:sz="4" w:space="0"/>
              <w:right w:val="single" w:color="auto" w:sz="4" w:space="0"/>
            </w:tcBorders>
            <w:vAlign w:val="center"/>
          </w:tcPr>
          <w:p w14:paraId="73B04B7C">
            <w:pPr>
              <w:widowControl/>
              <w:jc w:val="left"/>
              <w:rPr>
                <w:rFonts w:hint="default" w:ascii="Times New Roman" w:hAnsi="Times New Roman" w:eastAsia="宋体" w:cs="Times New Roman"/>
                <w:b/>
                <w:bCs/>
                <w:sz w:val="18"/>
                <w:szCs w:val="18"/>
              </w:rPr>
            </w:pPr>
          </w:p>
        </w:tc>
        <w:tc>
          <w:tcPr>
            <w:tcW w:w="653" w:type="dxa"/>
            <w:vMerge w:val="continue"/>
            <w:tcBorders>
              <w:top w:val="single" w:color="auto" w:sz="4" w:space="0"/>
              <w:left w:val="single" w:color="auto" w:sz="4" w:space="0"/>
              <w:bottom w:val="single" w:color="auto" w:sz="4" w:space="0"/>
              <w:right w:val="single" w:color="auto" w:sz="4" w:space="0"/>
            </w:tcBorders>
            <w:vAlign w:val="center"/>
          </w:tcPr>
          <w:p w14:paraId="4910CF07">
            <w:pPr>
              <w:widowControl/>
              <w:jc w:val="left"/>
              <w:rPr>
                <w:rFonts w:hint="default" w:ascii="Times New Roman" w:hAnsi="Times New Roman" w:eastAsia="宋体" w:cs="Times New Roman"/>
                <w:b/>
                <w:bCs/>
                <w:sz w:val="18"/>
                <w:szCs w:val="18"/>
              </w:rPr>
            </w:pPr>
          </w:p>
        </w:tc>
        <w:tc>
          <w:tcPr>
            <w:tcW w:w="579" w:type="dxa"/>
            <w:vMerge w:val="continue"/>
            <w:tcBorders>
              <w:left w:val="single" w:color="auto" w:sz="4" w:space="0"/>
              <w:bottom w:val="single" w:color="auto" w:sz="4" w:space="0"/>
              <w:right w:val="single" w:color="auto" w:sz="4" w:space="0"/>
            </w:tcBorders>
          </w:tcPr>
          <w:p w14:paraId="30213CF9">
            <w:pPr>
              <w:widowControl/>
              <w:jc w:val="left"/>
              <w:rPr>
                <w:rFonts w:hint="default" w:ascii="Times New Roman" w:hAnsi="Times New Roman" w:eastAsia="宋体" w:cs="Times New Roman"/>
                <w:b/>
                <w:bCs/>
                <w:sz w:val="18"/>
                <w:szCs w:val="18"/>
              </w:rPr>
            </w:pPr>
          </w:p>
        </w:tc>
      </w:tr>
      <w:tr w14:paraId="2489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221193">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子样1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277C5B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3.34</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8C46737">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3.24</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E95510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3.09</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21C882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5548B8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2.44</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50C6100">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3.16</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63CA9B4">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3.07</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F4019AD">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3.32</w:t>
            </w:r>
          </w:p>
        </w:tc>
        <w:tc>
          <w:tcPr>
            <w:tcW w:w="536"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691071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3.006</w:t>
            </w:r>
          </w:p>
        </w:tc>
        <w:tc>
          <w:tcPr>
            <w:tcW w:w="654"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0E0676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3.365</w:t>
            </w:r>
          </w:p>
        </w:tc>
        <w:tc>
          <w:tcPr>
            <w:tcW w:w="653"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219EF8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8.443</w:t>
            </w:r>
          </w:p>
        </w:tc>
        <w:tc>
          <w:tcPr>
            <w:tcW w:w="579" w:type="dxa"/>
            <w:vMerge w:val="restart"/>
            <w:tcBorders>
              <w:top w:val="single" w:color="auto" w:sz="4" w:space="0"/>
              <w:left w:val="single" w:color="auto" w:sz="4" w:space="0"/>
              <w:right w:val="single" w:color="auto" w:sz="4" w:space="0"/>
            </w:tcBorders>
            <w:vAlign w:val="center"/>
          </w:tcPr>
          <w:p w14:paraId="0FEEA9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0.194</w:t>
            </w:r>
          </w:p>
        </w:tc>
      </w:tr>
      <w:tr w14:paraId="6EE7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85438A">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子样2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F6B805F">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C156045">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3.25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AE1E390">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2.72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287441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3ADE50B">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2.46</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BFDFDB7">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B62840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2.99</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36C161A">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3.08</w:t>
            </w:r>
          </w:p>
        </w:tc>
        <w:tc>
          <w:tcPr>
            <w:tcW w:w="536" w:type="dxa"/>
            <w:vMerge w:val="continue"/>
            <w:tcBorders>
              <w:left w:val="single" w:color="auto" w:sz="4" w:space="0"/>
              <w:right w:val="single" w:color="auto" w:sz="4" w:space="0"/>
            </w:tcBorders>
            <w:tcMar>
              <w:top w:w="15" w:type="dxa"/>
              <w:left w:w="15" w:type="dxa"/>
              <w:bottom w:w="0" w:type="dxa"/>
              <w:right w:w="15" w:type="dxa"/>
            </w:tcMar>
            <w:vAlign w:val="center"/>
          </w:tcPr>
          <w:p w14:paraId="4AE56DD8">
            <w:pPr>
              <w:widowControl/>
              <w:jc w:val="center"/>
              <w:rPr>
                <w:rFonts w:hint="default" w:ascii="Times New Roman" w:hAnsi="Times New Roman" w:eastAsia="宋体" w:cs="Times New Roman"/>
                <w:sz w:val="18"/>
                <w:szCs w:val="18"/>
              </w:rPr>
            </w:pPr>
          </w:p>
        </w:tc>
        <w:tc>
          <w:tcPr>
            <w:tcW w:w="654" w:type="dxa"/>
            <w:vMerge w:val="continue"/>
            <w:tcBorders>
              <w:left w:val="single" w:color="auto" w:sz="4" w:space="0"/>
              <w:right w:val="single" w:color="auto" w:sz="4" w:space="0"/>
            </w:tcBorders>
            <w:tcMar>
              <w:top w:w="15" w:type="dxa"/>
              <w:left w:w="15" w:type="dxa"/>
              <w:bottom w:w="0" w:type="dxa"/>
              <w:right w:w="15" w:type="dxa"/>
            </w:tcMar>
            <w:vAlign w:val="center"/>
          </w:tcPr>
          <w:p w14:paraId="5D43BA9B">
            <w:pPr>
              <w:widowControl/>
              <w:jc w:val="center"/>
              <w:rPr>
                <w:rFonts w:hint="default" w:ascii="Times New Roman" w:hAnsi="Times New Roman" w:eastAsia="宋体" w:cs="Times New Roman"/>
                <w:sz w:val="18"/>
                <w:szCs w:val="18"/>
              </w:rPr>
            </w:pPr>
          </w:p>
        </w:tc>
        <w:tc>
          <w:tcPr>
            <w:tcW w:w="653" w:type="dxa"/>
            <w:vMerge w:val="continue"/>
            <w:tcBorders>
              <w:left w:val="single" w:color="auto" w:sz="4" w:space="0"/>
              <w:right w:val="single" w:color="auto" w:sz="4" w:space="0"/>
            </w:tcBorders>
            <w:tcMar>
              <w:top w:w="15" w:type="dxa"/>
              <w:left w:w="15" w:type="dxa"/>
              <w:bottom w:w="0" w:type="dxa"/>
              <w:right w:w="15" w:type="dxa"/>
            </w:tcMar>
            <w:vAlign w:val="center"/>
          </w:tcPr>
          <w:p w14:paraId="27887417">
            <w:pPr>
              <w:widowControl/>
              <w:jc w:val="center"/>
              <w:rPr>
                <w:rFonts w:hint="default" w:ascii="Times New Roman" w:hAnsi="Times New Roman" w:eastAsia="宋体" w:cs="Times New Roman"/>
                <w:sz w:val="18"/>
                <w:szCs w:val="18"/>
              </w:rPr>
            </w:pPr>
          </w:p>
        </w:tc>
        <w:tc>
          <w:tcPr>
            <w:tcW w:w="579" w:type="dxa"/>
            <w:vMerge w:val="continue"/>
            <w:tcBorders>
              <w:left w:val="single" w:color="auto" w:sz="4" w:space="0"/>
              <w:right w:val="single" w:color="auto" w:sz="4" w:space="0"/>
            </w:tcBorders>
          </w:tcPr>
          <w:p w14:paraId="2B837D52">
            <w:pPr>
              <w:widowControl/>
              <w:jc w:val="center"/>
              <w:rPr>
                <w:rFonts w:hint="default" w:ascii="Times New Roman" w:hAnsi="Times New Roman" w:eastAsia="宋体" w:cs="Times New Roman"/>
                <w:sz w:val="18"/>
                <w:szCs w:val="18"/>
              </w:rPr>
            </w:pPr>
          </w:p>
        </w:tc>
      </w:tr>
      <w:tr w14:paraId="42D7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E74004D">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子样3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33F7912">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2.96</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5BF739F">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3.01</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B9971E6">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2.90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3AE29F1">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897756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2.49</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ED0B0C3">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3.10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0D479B7">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3.03</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B6A0639">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3.31</w:t>
            </w:r>
          </w:p>
        </w:tc>
        <w:tc>
          <w:tcPr>
            <w:tcW w:w="536" w:type="dxa"/>
            <w:vMerge w:val="continue"/>
            <w:tcBorders>
              <w:left w:val="single" w:color="auto" w:sz="4" w:space="0"/>
              <w:right w:val="single" w:color="auto" w:sz="4" w:space="0"/>
            </w:tcBorders>
            <w:tcMar>
              <w:top w:w="15" w:type="dxa"/>
              <w:left w:w="15" w:type="dxa"/>
              <w:bottom w:w="0" w:type="dxa"/>
              <w:right w:w="15" w:type="dxa"/>
            </w:tcMar>
            <w:vAlign w:val="center"/>
          </w:tcPr>
          <w:p w14:paraId="4CD792EF">
            <w:pPr>
              <w:widowControl/>
              <w:jc w:val="center"/>
              <w:rPr>
                <w:rFonts w:hint="default" w:ascii="Times New Roman" w:hAnsi="Times New Roman" w:eastAsia="宋体" w:cs="Times New Roman"/>
                <w:sz w:val="18"/>
                <w:szCs w:val="18"/>
              </w:rPr>
            </w:pPr>
          </w:p>
        </w:tc>
        <w:tc>
          <w:tcPr>
            <w:tcW w:w="654" w:type="dxa"/>
            <w:vMerge w:val="continue"/>
            <w:tcBorders>
              <w:left w:val="single" w:color="auto" w:sz="4" w:space="0"/>
              <w:right w:val="single" w:color="auto" w:sz="4" w:space="0"/>
            </w:tcBorders>
            <w:tcMar>
              <w:top w:w="15" w:type="dxa"/>
              <w:left w:w="15" w:type="dxa"/>
              <w:bottom w:w="0" w:type="dxa"/>
              <w:right w:w="15" w:type="dxa"/>
            </w:tcMar>
            <w:vAlign w:val="center"/>
          </w:tcPr>
          <w:p w14:paraId="36F3FCD1">
            <w:pPr>
              <w:widowControl/>
              <w:jc w:val="center"/>
              <w:rPr>
                <w:rFonts w:hint="default" w:ascii="Times New Roman" w:hAnsi="Times New Roman" w:eastAsia="宋体" w:cs="Times New Roman"/>
                <w:sz w:val="18"/>
                <w:szCs w:val="18"/>
              </w:rPr>
            </w:pPr>
          </w:p>
        </w:tc>
        <w:tc>
          <w:tcPr>
            <w:tcW w:w="653" w:type="dxa"/>
            <w:vMerge w:val="continue"/>
            <w:tcBorders>
              <w:left w:val="single" w:color="auto" w:sz="4" w:space="0"/>
              <w:right w:val="single" w:color="auto" w:sz="4" w:space="0"/>
            </w:tcBorders>
            <w:tcMar>
              <w:top w:w="15" w:type="dxa"/>
              <w:left w:w="15" w:type="dxa"/>
              <w:bottom w:w="0" w:type="dxa"/>
              <w:right w:w="15" w:type="dxa"/>
            </w:tcMar>
            <w:vAlign w:val="center"/>
          </w:tcPr>
          <w:p w14:paraId="6B4ECA3A">
            <w:pPr>
              <w:widowControl/>
              <w:jc w:val="center"/>
              <w:rPr>
                <w:rFonts w:hint="default" w:ascii="Times New Roman" w:hAnsi="Times New Roman" w:eastAsia="宋体" w:cs="Times New Roman"/>
                <w:sz w:val="18"/>
                <w:szCs w:val="18"/>
              </w:rPr>
            </w:pPr>
          </w:p>
        </w:tc>
        <w:tc>
          <w:tcPr>
            <w:tcW w:w="579" w:type="dxa"/>
            <w:vMerge w:val="continue"/>
            <w:tcBorders>
              <w:left w:val="single" w:color="auto" w:sz="4" w:space="0"/>
              <w:right w:val="single" w:color="auto" w:sz="4" w:space="0"/>
            </w:tcBorders>
          </w:tcPr>
          <w:p w14:paraId="19844483">
            <w:pPr>
              <w:widowControl/>
              <w:jc w:val="center"/>
              <w:rPr>
                <w:rFonts w:hint="default" w:ascii="Times New Roman" w:hAnsi="Times New Roman" w:eastAsia="宋体" w:cs="Times New Roman"/>
                <w:sz w:val="18"/>
                <w:szCs w:val="18"/>
              </w:rPr>
            </w:pPr>
          </w:p>
        </w:tc>
      </w:tr>
      <w:tr w14:paraId="799F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9B58851">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mean</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EB10A3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3.100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2A665F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3.167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40D333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2.903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6E88080">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3.057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15030AB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2.463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05ACBF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3.090</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41BAA27">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3.030</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9248C82">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3.237</w:t>
            </w:r>
          </w:p>
        </w:tc>
        <w:tc>
          <w:tcPr>
            <w:tcW w:w="536" w:type="dxa"/>
            <w:vMerge w:val="continue"/>
            <w:tcBorders>
              <w:left w:val="single" w:color="auto" w:sz="4" w:space="0"/>
              <w:right w:val="single" w:color="auto" w:sz="4" w:space="0"/>
            </w:tcBorders>
            <w:tcMar>
              <w:top w:w="15" w:type="dxa"/>
              <w:left w:w="15" w:type="dxa"/>
              <w:bottom w:w="0" w:type="dxa"/>
              <w:right w:w="15" w:type="dxa"/>
            </w:tcMar>
          </w:tcPr>
          <w:p w14:paraId="6C6066A4">
            <w:pPr>
              <w:widowControl/>
              <w:jc w:val="center"/>
              <w:rPr>
                <w:rFonts w:hint="default" w:ascii="Times New Roman" w:hAnsi="Times New Roman" w:eastAsia="宋体" w:cs="Times New Roman"/>
                <w:sz w:val="18"/>
                <w:szCs w:val="18"/>
              </w:rPr>
            </w:pPr>
          </w:p>
        </w:tc>
        <w:tc>
          <w:tcPr>
            <w:tcW w:w="654" w:type="dxa"/>
            <w:vMerge w:val="continue"/>
            <w:tcBorders>
              <w:left w:val="single" w:color="auto" w:sz="4" w:space="0"/>
              <w:right w:val="single" w:color="auto" w:sz="4" w:space="0"/>
            </w:tcBorders>
            <w:tcMar>
              <w:top w:w="15" w:type="dxa"/>
              <w:left w:w="15" w:type="dxa"/>
              <w:bottom w:w="0" w:type="dxa"/>
              <w:right w:w="15" w:type="dxa"/>
            </w:tcMar>
          </w:tcPr>
          <w:p w14:paraId="2F9D11D9">
            <w:pPr>
              <w:widowControl/>
              <w:jc w:val="center"/>
              <w:rPr>
                <w:rFonts w:hint="default" w:ascii="Times New Roman" w:hAnsi="Times New Roman" w:eastAsia="宋体" w:cs="Times New Roman"/>
                <w:sz w:val="18"/>
                <w:szCs w:val="18"/>
              </w:rPr>
            </w:pPr>
          </w:p>
        </w:tc>
        <w:tc>
          <w:tcPr>
            <w:tcW w:w="653" w:type="dxa"/>
            <w:vMerge w:val="continue"/>
            <w:tcBorders>
              <w:left w:val="single" w:color="auto" w:sz="4" w:space="0"/>
              <w:right w:val="single" w:color="auto" w:sz="4" w:space="0"/>
            </w:tcBorders>
            <w:tcMar>
              <w:top w:w="15" w:type="dxa"/>
              <w:left w:w="15" w:type="dxa"/>
              <w:bottom w:w="0" w:type="dxa"/>
              <w:right w:w="15" w:type="dxa"/>
            </w:tcMar>
          </w:tcPr>
          <w:p w14:paraId="21D5F6D7">
            <w:pPr>
              <w:widowControl/>
              <w:jc w:val="center"/>
              <w:rPr>
                <w:rFonts w:hint="default" w:ascii="Times New Roman" w:hAnsi="Times New Roman" w:eastAsia="宋体" w:cs="Times New Roman"/>
                <w:sz w:val="18"/>
                <w:szCs w:val="18"/>
              </w:rPr>
            </w:pPr>
          </w:p>
        </w:tc>
        <w:tc>
          <w:tcPr>
            <w:tcW w:w="579" w:type="dxa"/>
            <w:vMerge w:val="continue"/>
            <w:tcBorders>
              <w:left w:val="single" w:color="auto" w:sz="4" w:space="0"/>
              <w:right w:val="single" w:color="auto" w:sz="4" w:space="0"/>
            </w:tcBorders>
          </w:tcPr>
          <w:p w14:paraId="28DD6CD8">
            <w:pPr>
              <w:widowControl/>
              <w:jc w:val="center"/>
              <w:rPr>
                <w:rFonts w:hint="default" w:ascii="Times New Roman" w:hAnsi="Times New Roman" w:eastAsia="宋体" w:cs="Times New Roman"/>
                <w:sz w:val="18"/>
                <w:szCs w:val="18"/>
              </w:rPr>
            </w:pPr>
          </w:p>
        </w:tc>
      </w:tr>
      <w:tr w14:paraId="0177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394A254">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s</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37F573D9">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0.209</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A80CD8A">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0.136</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E6A12D7">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0.185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B9F0F26">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0.012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581A1896">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0.025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CFAFF16">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0.075</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3FEDD75">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0.040</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E1BE982">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0.136</w:t>
            </w:r>
          </w:p>
        </w:tc>
        <w:tc>
          <w:tcPr>
            <w:tcW w:w="536" w:type="dxa"/>
            <w:vMerge w:val="continue"/>
            <w:tcBorders>
              <w:left w:val="single" w:color="auto" w:sz="4" w:space="0"/>
              <w:right w:val="single" w:color="auto" w:sz="4" w:space="0"/>
            </w:tcBorders>
            <w:tcMar>
              <w:top w:w="15" w:type="dxa"/>
              <w:left w:w="15" w:type="dxa"/>
              <w:bottom w:w="0" w:type="dxa"/>
              <w:right w:w="15" w:type="dxa"/>
            </w:tcMar>
          </w:tcPr>
          <w:p w14:paraId="23BF554A">
            <w:pPr>
              <w:widowControl/>
              <w:jc w:val="center"/>
              <w:rPr>
                <w:rFonts w:hint="default" w:ascii="Times New Roman" w:hAnsi="Times New Roman" w:eastAsia="宋体" w:cs="Times New Roman"/>
                <w:sz w:val="18"/>
                <w:szCs w:val="18"/>
              </w:rPr>
            </w:pPr>
          </w:p>
        </w:tc>
        <w:tc>
          <w:tcPr>
            <w:tcW w:w="654" w:type="dxa"/>
            <w:vMerge w:val="continue"/>
            <w:tcBorders>
              <w:left w:val="single" w:color="auto" w:sz="4" w:space="0"/>
              <w:right w:val="single" w:color="auto" w:sz="4" w:space="0"/>
            </w:tcBorders>
            <w:tcMar>
              <w:top w:w="15" w:type="dxa"/>
              <w:left w:w="15" w:type="dxa"/>
              <w:bottom w:w="0" w:type="dxa"/>
              <w:right w:w="15" w:type="dxa"/>
            </w:tcMar>
          </w:tcPr>
          <w:p w14:paraId="27255689">
            <w:pPr>
              <w:widowControl/>
              <w:jc w:val="center"/>
              <w:rPr>
                <w:rFonts w:hint="default" w:ascii="Times New Roman" w:hAnsi="Times New Roman" w:eastAsia="宋体" w:cs="Times New Roman"/>
                <w:sz w:val="18"/>
                <w:szCs w:val="18"/>
              </w:rPr>
            </w:pPr>
          </w:p>
        </w:tc>
        <w:tc>
          <w:tcPr>
            <w:tcW w:w="653" w:type="dxa"/>
            <w:vMerge w:val="continue"/>
            <w:tcBorders>
              <w:left w:val="single" w:color="auto" w:sz="4" w:space="0"/>
              <w:right w:val="single" w:color="auto" w:sz="4" w:space="0"/>
            </w:tcBorders>
            <w:tcMar>
              <w:top w:w="15" w:type="dxa"/>
              <w:left w:w="15" w:type="dxa"/>
              <w:bottom w:w="0" w:type="dxa"/>
              <w:right w:w="15" w:type="dxa"/>
            </w:tcMar>
          </w:tcPr>
          <w:p w14:paraId="687B9C0A">
            <w:pPr>
              <w:widowControl/>
              <w:jc w:val="center"/>
              <w:rPr>
                <w:rFonts w:hint="default" w:ascii="Times New Roman" w:hAnsi="Times New Roman" w:eastAsia="宋体" w:cs="Times New Roman"/>
                <w:sz w:val="18"/>
                <w:szCs w:val="18"/>
              </w:rPr>
            </w:pPr>
          </w:p>
        </w:tc>
        <w:tc>
          <w:tcPr>
            <w:tcW w:w="579" w:type="dxa"/>
            <w:vMerge w:val="continue"/>
            <w:tcBorders>
              <w:left w:val="single" w:color="auto" w:sz="4" w:space="0"/>
              <w:right w:val="single" w:color="auto" w:sz="4" w:space="0"/>
            </w:tcBorders>
          </w:tcPr>
          <w:p w14:paraId="4808DFEA">
            <w:pPr>
              <w:widowControl/>
              <w:jc w:val="center"/>
              <w:rPr>
                <w:rFonts w:hint="default" w:ascii="Times New Roman" w:hAnsi="Times New Roman" w:eastAsia="宋体" w:cs="Times New Roman"/>
                <w:sz w:val="18"/>
                <w:szCs w:val="18"/>
              </w:rPr>
            </w:pPr>
          </w:p>
        </w:tc>
      </w:tr>
      <w:tr w14:paraId="33B2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EAF4F6D">
            <w:pPr>
              <w:widowControl/>
              <w:jc w:val="center"/>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s</w:t>
            </w:r>
            <w:r>
              <w:rPr>
                <w:rFonts w:hint="default" w:ascii="Times New Roman" w:hAnsi="Times New Roman" w:eastAsia="宋体" w:cs="Times New Roman"/>
                <w:b/>
                <w:bCs/>
                <w:kern w:val="0"/>
                <w:sz w:val="18"/>
                <w:szCs w:val="18"/>
                <w:vertAlign w:val="subscript"/>
              </w:rPr>
              <w:t>r</w:t>
            </w:r>
            <w:r>
              <w:rPr>
                <w:rFonts w:hint="default" w:ascii="Times New Roman" w:hAnsi="Times New Roman" w:eastAsia="宋体" w:cs="Times New Roman"/>
                <w:b/>
                <w:bCs/>
                <w:kern w:val="0"/>
                <w:sz w:val="18"/>
                <w:szCs w:val="18"/>
              </w:rPr>
              <w:t>（%）</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1B33624">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6.736</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10EA090">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4.287</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96A4831">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6.373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B201A51">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0.378</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9550465">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1.022</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0A112E4">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2.443</w:t>
            </w:r>
          </w:p>
        </w:tc>
        <w:tc>
          <w:tcPr>
            <w:tcW w:w="6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23AC718E">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1.320</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08AFF74C">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r>
              <w:rPr>
                <w:rFonts w:hint="default" w:cs="Times New Roman"/>
                <w:i w:val="0"/>
                <w:iCs w:val="0"/>
                <w:color w:val="000000"/>
                <w:kern w:val="0"/>
                <w:sz w:val="18"/>
                <w:szCs w:val="18"/>
                <w:u w:val="none"/>
                <w:lang w:val="en-US" w:eastAsia="zh-CN" w:bidi="ar"/>
              </w:rPr>
              <w:t>4.195</w:t>
            </w:r>
          </w:p>
        </w:tc>
        <w:tc>
          <w:tcPr>
            <w:tcW w:w="536" w:type="dxa"/>
            <w:vMerge w:val="continue"/>
            <w:tcBorders>
              <w:left w:val="single" w:color="auto" w:sz="4" w:space="0"/>
              <w:right w:val="single" w:color="auto" w:sz="4" w:space="0"/>
            </w:tcBorders>
            <w:tcMar>
              <w:top w:w="15" w:type="dxa"/>
              <w:left w:w="15" w:type="dxa"/>
              <w:bottom w:w="0" w:type="dxa"/>
              <w:right w:w="15" w:type="dxa"/>
            </w:tcMar>
          </w:tcPr>
          <w:p w14:paraId="3755E92F">
            <w:pPr>
              <w:widowControl/>
              <w:jc w:val="center"/>
              <w:rPr>
                <w:rFonts w:hint="default" w:ascii="Times New Roman" w:hAnsi="Times New Roman" w:eastAsia="宋体" w:cs="Times New Roman"/>
                <w:sz w:val="18"/>
                <w:szCs w:val="18"/>
              </w:rPr>
            </w:pPr>
          </w:p>
        </w:tc>
        <w:tc>
          <w:tcPr>
            <w:tcW w:w="654" w:type="dxa"/>
            <w:vMerge w:val="continue"/>
            <w:tcBorders>
              <w:left w:val="single" w:color="auto" w:sz="4" w:space="0"/>
              <w:right w:val="single" w:color="auto" w:sz="4" w:space="0"/>
            </w:tcBorders>
            <w:tcMar>
              <w:top w:w="15" w:type="dxa"/>
              <w:left w:w="15" w:type="dxa"/>
              <w:bottom w:w="0" w:type="dxa"/>
              <w:right w:w="15" w:type="dxa"/>
            </w:tcMar>
          </w:tcPr>
          <w:p w14:paraId="336106A4">
            <w:pPr>
              <w:widowControl/>
              <w:jc w:val="center"/>
              <w:rPr>
                <w:rFonts w:hint="default" w:ascii="Times New Roman" w:hAnsi="Times New Roman" w:eastAsia="宋体" w:cs="Times New Roman"/>
                <w:sz w:val="18"/>
                <w:szCs w:val="18"/>
              </w:rPr>
            </w:pPr>
          </w:p>
        </w:tc>
        <w:tc>
          <w:tcPr>
            <w:tcW w:w="653" w:type="dxa"/>
            <w:vMerge w:val="continue"/>
            <w:tcBorders>
              <w:left w:val="single" w:color="auto" w:sz="4" w:space="0"/>
              <w:right w:val="single" w:color="auto" w:sz="4" w:space="0"/>
            </w:tcBorders>
            <w:tcMar>
              <w:top w:w="15" w:type="dxa"/>
              <w:left w:w="15" w:type="dxa"/>
              <w:bottom w:w="0" w:type="dxa"/>
              <w:right w:w="15" w:type="dxa"/>
            </w:tcMar>
          </w:tcPr>
          <w:p w14:paraId="10BF4817">
            <w:pPr>
              <w:widowControl/>
              <w:jc w:val="center"/>
              <w:rPr>
                <w:rFonts w:hint="default" w:ascii="Times New Roman" w:hAnsi="Times New Roman" w:eastAsia="宋体" w:cs="Times New Roman"/>
                <w:sz w:val="18"/>
                <w:szCs w:val="18"/>
              </w:rPr>
            </w:pPr>
          </w:p>
        </w:tc>
        <w:tc>
          <w:tcPr>
            <w:tcW w:w="579" w:type="dxa"/>
            <w:vMerge w:val="continue"/>
            <w:tcBorders>
              <w:left w:val="single" w:color="auto" w:sz="4" w:space="0"/>
              <w:right w:val="single" w:color="auto" w:sz="4" w:space="0"/>
            </w:tcBorders>
          </w:tcPr>
          <w:p w14:paraId="2FCC12C4">
            <w:pPr>
              <w:widowControl/>
              <w:jc w:val="center"/>
              <w:rPr>
                <w:rFonts w:hint="default" w:ascii="Times New Roman" w:hAnsi="Times New Roman" w:eastAsia="宋体" w:cs="Times New Roman"/>
                <w:sz w:val="18"/>
                <w:szCs w:val="18"/>
              </w:rPr>
            </w:pPr>
          </w:p>
        </w:tc>
      </w:tr>
    </w:tbl>
    <w:p w14:paraId="7C78237C">
      <w:pPr>
        <w:rPr>
          <w:rFonts w:hint="default" w:ascii="Times New Roman" w:hAnsi="Times New Roman" w:eastAsia="宋体" w:cs="Times New Roman"/>
          <w:sz w:val="18"/>
          <w:szCs w:val="18"/>
        </w:rPr>
      </w:pPr>
    </w:p>
    <w:p w14:paraId="4D1EBD76">
      <w:pPr>
        <w:bidi w:val="0"/>
        <w:spacing w:line="312" w:lineRule="auto"/>
        <w:ind w:firstLine="420" w:firstLineChars="200"/>
        <w:rPr>
          <w:rFonts w:hint="eastAsia" w:cs="Calibri"/>
          <w:szCs w:val="22"/>
          <w:lang w:val="en-US" w:eastAsia="zh-CN"/>
        </w:rPr>
      </w:pPr>
      <w:r>
        <w:rPr>
          <w:rFonts w:ascii="Times New Roman" w:hAnsi="Times New Roman" w:cs="Calibri"/>
          <w:szCs w:val="22"/>
        </w:rPr>
        <w:t>表</w:t>
      </w:r>
      <w:r>
        <w:rPr>
          <w:rFonts w:hint="eastAsia" w:cs="Calibri"/>
          <w:szCs w:val="22"/>
          <w:lang w:val="en-US" w:eastAsia="zh-CN"/>
        </w:rPr>
        <w:t>3-18</w:t>
      </w:r>
      <w:r>
        <w:rPr>
          <w:rFonts w:ascii="Times New Roman" w:hAnsi="Times New Roman" w:cs="Calibri"/>
          <w:szCs w:val="22"/>
        </w:rPr>
        <w:t>结果显示，8家实验室阳性定量质控</w:t>
      </w:r>
      <w:r>
        <w:rPr>
          <w:rFonts w:hint="eastAsia" w:cs="Calibri"/>
          <w:szCs w:val="22"/>
          <w:lang w:val="en-US" w:eastAsia="zh-CN"/>
        </w:rPr>
        <w:t>品测量值的平均值在2.463%～3.237%之间，总平均值为3.006%，实验室内相对标准差、重复性相对标准差、再现性相对标准差均小于25%，测量总平均值相对偏倚0.194%，位于±25%范围内（表3-18），表明阳性定量质控品检测数据合格。</w:t>
      </w:r>
    </w:p>
    <w:p w14:paraId="441AB2E6">
      <w:pPr>
        <w:pStyle w:val="4"/>
        <w:numPr>
          <w:ilvl w:val="0"/>
          <w:numId w:val="5"/>
        </w:numPr>
        <w:bidi w:val="0"/>
        <w:spacing w:before="50" w:beforeLines="50" w:after="50" w:afterLines="50" w:line="240" w:lineRule="auto"/>
        <w:ind w:firstLine="420" w:firstLineChars="200"/>
        <w:rPr>
          <w:rFonts w:ascii="Times New Roman" w:hAnsi="Times New Roman" w:eastAsia="黑体" w:cs="Calibri"/>
          <w:b w:val="0"/>
          <w:sz w:val="21"/>
        </w:rPr>
      </w:pPr>
      <w:r>
        <w:rPr>
          <w:rFonts w:hint="eastAsia" w:ascii="Times New Roman" w:hAnsi="Times New Roman" w:eastAsia="黑体" w:cs="Calibri"/>
          <w:b w:val="0"/>
          <w:sz w:val="21"/>
        </w:rPr>
        <w:t>实时荧光定量不确定度评定</w:t>
      </w:r>
    </w:p>
    <w:p w14:paraId="27249C0E">
      <w:pPr>
        <w:pStyle w:val="5"/>
        <w:bidi w:val="0"/>
        <w:spacing w:before="50" w:beforeLines="50" w:after="50" w:afterLines="50" w:line="240" w:lineRule="auto"/>
        <w:ind w:firstLine="420" w:firstLineChars="200"/>
        <w:rPr>
          <w:rFonts w:hint="eastAsia" w:ascii="Times New Roman" w:hAnsi="Times New Roman" w:eastAsia="黑体" w:cs="Calibri"/>
          <w:b w:val="0"/>
          <w:lang w:val="en-US" w:eastAsia="zh-CN"/>
        </w:rPr>
      </w:pPr>
      <w:r>
        <w:rPr>
          <w:rFonts w:hint="eastAsia" w:ascii="Times New Roman" w:hAnsi="Times New Roman" w:eastAsia="黑体" w:cs="Calibri"/>
          <w:b w:val="0"/>
          <w:lang w:val="en-US" w:eastAsia="zh-CN"/>
        </w:rPr>
        <w:t>6.1 不确定度评定的原则</w:t>
      </w:r>
    </w:p>
    <w:p w14:paraId="01013144">
      <w:pPr>
        <w:bidi w:val="0"/>
        <w:spacing w:line="312" w:lineRule="auto"/>
        <w:ind w:firstLine="420" w:firstLineChars="200"/>
        <w:rPr>
          <w:rFonts w:ascii="Times New Roman" w:hAnsi="Times New Roman" w:cs="Calibri"/>
          <w:szCs w:val="22"/>
        </w:rPr>
      </w:pPr>
      <w:r>
        <w:rPr>
          <w:rFonts w:ascii="Times New Roman" w:hAnsi="Times New Roman" w:cs="Calibri"/>
          <w:szCs w:val="22"/>
        </w:rPr>
        <w:t>不确定度的评定可以选择自上而下或自下而上的方式进行。校准品和阳性定量质控品类型（有证标准物质或实验室自制样品）及其认定值的标示方式（拷贝数或拷贝数比值）都影响不确定度评定。</w:t>
      </w:r>
    </w:p>
    <w:p w14:paraId="79EDB6DB">
      <w:pPr>
        <w:bidi w:val="0"/>
        <w:spacing w:line="312" w:lineRule="auto"/>
        <w:ind w:firstLine="420" w:firstLineChars="200"/>
        <w:rPr>
          <w:rFonts w:ascii="Times New Roman" w:hAnsi="Times New Roman" w:cs="Calibri"/>
          <w:szCs w:val="22"/>
        </w:rPr>
      </w:pPr>
      <w:r>
        <w:rPr>
          <w:rFonts w:ascii="Times New Roman" w:hAnsi="Times New Roman" w:cs="Calibri"/>
          <w:szCs w:val="22"/>
        </w:rPr>
        <w:t>检测实验室宜优先选择自上而下的方式进行。</w:t>
      </w:r>
    </w:p>
    <w:p w14:paraId="14F3EB19">
      <w:pPr>
        <w:pStyle w:val="5"/>
        <w:bidi w:val="0"/>
        <w:spacing w:before="50" w:beforeLines="50" w:after="50" w:afterLines="50" w:line="240" w:lineRule="auto"/>
        <w:ind w:firstLine="420" w:firstLineChars="200"/>
        <w:rPr>
          <w:rFonts w:hint="eastAsia" w:ascii="Times New Roman" w:hAnsi="Times New Roman" w:eastAsia="黑体" w:cs="Calibri"/>
          <w:b w:val="0"/>
          <w:lang w:val="en-US" w:eastAsia="zh-CN"/>
        </w:rPr>
      </w:pPr>
      <w:r>
        <w:rPr>
          <w:rFonts w:hint="eastAsia" w:ascii="Times New Roman" w:hAnsi="Times New Roman" w:eastAsia="黑体" w:cs="Calibri"/>
          <w:b w:val="0"/>
          <w:lang w:val="en-US" w:eastAsia="zh-CN"/>
        </w:rPr>
        <w:t>6.2 定量结果的不确定度评定方法</w:t>
      </w:r>
    </w:p>
    <w:p w14:paraId="22A1D6B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pPr>
      <w:r>
        <w:rPr>
          <w:rFonts w:hint="default" w:ascii="Times New Roman" w:hAnsi="Times New Roman" w:eastAsia="宋体" w:cs="Times New Roman"/>
          <w:bCs/>
          <w:sz w:val="21"/>
          <w:szCs w:val="21"/>
        </w:rPr>
        <w:t>实验室根据本文件进行检测之初，可根据文本验证时多家联合验证数据预评定的相对标准不确定度分量（</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r</w:t>
      </w:r>
      <w:r>
        <w:rPr>
          <w:rFonts w:hint="default" w:ascii="Times New Roman" w:hAnsi="Times New Roman" w:eastAsia="宋体" w:cs="Times New Roman"/>
          <w:bCs/>
          <w:sz w:val="21"/>
          <w:szCs w:val="21"/>
        </w:rPr>
        <w:t>）和绝对标准不确定度分量（</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0</w:t>
      </w:r>
      <w:r>
        <w:rPr>
          <w:rFonts w:hint="default" w:ascii="Times New Roman" w:hAnsi="Times New Roman" w:eastAsia="宋体" w:cs="Times New Roman"/>
          <w:bCs/>
          <w:sz w:val="21"/>
          <w:szCs w:val="21"/>
        </w:rPr>
        <w:t>）,评定定量结果的不确定度。根据实时荧光PCR定量方法实验室间统一验证样品（各水平顺序号用</w:t>
      </w:r>
      <w:r>
        <w:rPr>
          <w:rFonts w:hint="default" w:ascii="Times New Roman" w:hAnsi="Times New Roman" w:eastAsia="宋体" w:cs="Times New Roman"/>
          <w:bCs/>
          <w:i/>
          <w:iCs/>
          <w:sz w:val="21"/>
          <w:szCs w:val="21"/>
        </w:rPr>
        <w:t>j</w:t>
      </w:r>
      <w:r>
        <w:rPr>
          <w:rFonts w:hint="default" w:ascii="Times New Roman" w:hAnsi="Times New Roman" w:eastAsia="宋体" w:cs="Times New Roman"/>
          <w:bCs/>
          <w:sz w:val="21"/>
          <w:szCs w:val="21"/>
        </w:rPr>
        <w:t>表示，共</w:t>
      </w:r>
      <w:r>
        <w:rPr>
          <w:rFonts w:hint="default" w:ascii="Times New Roman" w:hAnsi="Times New Roman" w:eastAsia="宋体" w:cs="Times New Roman"/>
          <w:bCs/>
          <w:i/>
          <w:iCs/>
          <w:sz w:val="21"/>
          <w:szCs w:val="21"/>
        </w:rPr>
        <w:t>q</w:t>
      </w:r>
      <w:r>
        <w:rPr>
          <w:rFonts w:hint="default" w:ascii="Times New Roman" w:hAnsi="Times New Roman" w:eastAsia="宋体" w:cs="Times New Roman"/>
          <w:bCs/>
          <w:sz w:val="21"/>
          <w:szCs w:val="21"/>
        </w:rPr>
        <w:t>个水平）的检测数据再现性标准</w:t>
      </w:r>
      <w:r>
        <w:rPr>
          <w:rFonts w:hint="default" w:ascii="Times New Roman" w:hAnsi="Times New Roman" w:eastAsia="宋体" w:cs="Times New Roman"/>
          <w:b w:val="0"/>
          <w:bCs/>
          <w:sz w:val="21"/>
          <w:szCs w:val="21"/>
        </w:rPr>
        <w:t>差与检测</w:t>
      </w:r>
      <w:r>
        <w:rPr>
          <w:rFonts w:hint="default" w:ascii="Times New Roman" w:hAnsi="Times New Roman" w:eastAsia="宋体" w:cs="Times New Roman"/>
          <w:bCs/>
          <w:sz w:val="21"/>
          <w:szCs w:val="21"/>
        </w:rPr>
        <w:t>平均值（</w:t>
      </w:r>
      <w:r>
        <w:rPr>
          <w:rFonts w:hint="default" w:ascii="Times New Roman" w:hAnsi="Times New Roman" w:eastAsia="宋体" w:cs="Times New Roman"/>
          <w:bCs/>
          <w:position w:val="-6"/>
          <w:sz w:val="21"/>
          <w:szCs w:val="21"/>
        </w:rPr>
        <w:object>
          <v:shape id="_x0000_i1094" o:spt="75" type="#_x0000_t75" style="height:21.05pt;width:8.9pt;" o:ole="t" filled="f" o:preferrelative="t" stroked="f" coordsize="21600,21600">
            <v:path/>
            <v:fill on="f" focussize="0,0"/>
            <v:stroke on="f" joinstyle="miter"/>
            <v:imagedata r:id="rId243" o:title=""/>
            <o:lock v:ext="edit" aspectratio="t"/>
            <w10:wrap type="none"/>
            <w10:anchorlock/>
          </v:shape>
          <o:OLEObject Type="Embed" ProgID="Equation.KSEE3" ShapeID="_x0000_i1094" DrawAspect="Content" ObjectID="_1468075794" r:id="rId242">
            <o:LockedField>false</o:LockedField>
          </o:OLEObject>
        </w:object>
      </w:r>
      <w:r>
        <w:rPr>
          <w:rFonts w:hint="default" w:ascii="Times New Roman" w:hAnsi="Times New Roman" w:eastAsia="宋体" w:cs="Times New Roman"/>
          <w:bCs/>
          <w:sz w:val="21"/>
          <w:szCs w:val="21"/>
        </w:rPr>
        <w:t>）间的线性关系</w:t>
      </w:r>
      <w:r>
        <w:rPr>
          <w:rFonts w:hint="default" w:ascii="Times New Roman" w:hAnsi="Times New Roman" w:eastAsia="宋体" w:cs="Times New Roman"/>
          <w:b/>
          <w:sz w:val="21"/>
          <w:szCs w:val="21"/>
        </w:rPr>
        <w:t>，</w:t>
      </w:r>
      <w:r>
        <w:rPr>
          <w:rFonts w:hint="default" w:ascii="Times New Roman" w:hAnsi="Times New Roman" w:eastAsia="宋体" w:cs="Times New Roman"/>
          <w:bCs/>
          <w:sz w:val="21"/>
          <w:szCs w:val="21"/>
        </w:rPr>
        <w:t>绘制再现性标准差</w:t>
      </w:r>
      <w:r>
        <w:rPr>
          <w:rFonts w:hint="default" w:ascii="Times New Roman" w:hAnsi="Times New Roman" w:eastAsia="宋体" w:cs="Times New Roman"/>
          <w:bCs/>
          <w:i/>
          <w:iCs/>
          <w:sz w:val="21"/>
          <w:szCs w:val="21"/>
        </w:rPr>
        <w:t>s</w:t>
      </w:r>
      <w:r>
        <w:rPr>
          <w:rFonts w:hint="default" w:ascii="Times New Roman" w:hAnsi="Times New Roman" w:eastAsia="宋体" w:cs="Times New Roman"/>
          <w:bCs/>
          <w:i/>
          <w:iCs/>
          <w:sz w:val="21"/>
          <w:szCs w:val="21"/>
          <w:vertAlign w:val="subscript"/>
        </w:rPr>
        <w:t>j</w:t>
      </w:r>
      <w:r>
        <w:rPr>
          <w:rFonts w:hint="default" w:ascii="Times New Roman" w:hAnsi="Times New Roman" w:eastAsia="宋体" w:cs="Times New Roman"/>
          <w:bCs/>
          <w:sz w:val="21"/>
          <w:szCs w:val="21"/>
          <w:vertAlign w:val="subscript"/>
        </w:rPr>
        <w:t>R</w:t>
      </w:r>
      <w:r>
        <w:rPr>
          <w:rFonts w:hint="default" w:ascii="Times New Roman" w:hAnsi="Times New Roman" w:eastAsia="宋体" w:cs="Times New Roman"/>
          <w:bCs/>
          <w:sz w:val="21"/>
          <w:szCs w:val="21"/>
        </w:rPr>
        <w:t>与各水平（</w:t>
      </w:r>
      <w:r>
        <w:rPr>
          <w:rFonts w:hint="default" w:ascii="Times New Roman" w:hAnsi="Times New Roman" w:eastAsia="宋体" w:cs="Times New Roman"/>
          <w:bCs/>
          <w:i/>
          <w:iCs/>
          <w:sz w:val="21"/>
          <w:szCs w:val="21"/>
        </w:rPr>
        <w:t>q</w:t>
      </w:r>
      <w:r>
        <w:rPr>
          <w:rFonts w:hint="default" w:ascii="Times New Roman" w:hAnsi="Times New Roman" w:eastAsia="宋体" w:cs="Times New Roman"/>
          <w:bCs/>
          <w:sz w:val="21"/>
          <w:szCs w:val="21"/>
        </w:rPr>
        <w:t>=5）验证样品检测数据平均值（</w:t>
      </w:r>
      <w:r>
        <w:rPr>
          <w:rFonts w:hint="default" w:ascii="Times New Roman" w:hAnsi="Times New Roman" w:eastAsia="宋体" w:cs="Times New Roman"/>
          <w:bCs/>
          <w:position w:val="-6"/>
          <w:sz w:val="21"/>
          <w:szCs w:val="21"/>
        </w:rPr>
        <w:drawing>
          <wp:inline distT="0" distB="0" distL="114300" distR="114300">
            <wp:extent cx="114300" cy="266700"/>
            <wp:effectExtent l="0" t="0" r="0" b="0"/>
            <wp:docPr id="221"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06"/>
                    <pic:cNvPicPr>
                      <a:picLocks noChangeAspect="1"/>
                    </pic:cNvPicPr>
                  </pic:nvPicPr>
                  <pic:blipFill>
                    <a:blip r:embed="rId243">
                      <a:lum/>
                    </a:blip>
                    <a:stretch>
                      <a:fillRect/>
                    </a:stretch>
                  </pic:blipFill>
                  <pic:spPr>
                    <a:xfrm>
                      <a:off x="0" y="0"/>
                      <a:ext cx="114300" cy="266700"/>
                    </a:xfrm>
                    <a:prstGeom prst="rect">
                      <a:avLst/>
                    </a:prstGeom>
                    <a:noFill/>
                    <a:ln>
                      <a:noFill/>
                    </a:ln>
                  </pic:spPr>
                </pic:pic>
              </a:graphicData>
            </a:graphic>
          </wp:inline>
        </w:drawing>
      </w:r>
      <w:r>
        <w:rPr>
          <w:rFonts w:hint="default" w:ascii="Times New Roman" w:hAnsi="Times New Roman" w:eastAsia="宋体" w:cs="Times New Roman"/>
          <w:bCs/>
          <w:sz w:val="21"/>
          <w:szCs w:val="21"/>
        </w:rPr>
        <w:t>）的回归曲线</w:t>
      </w:r>
      <w:r>
        <w:rPr>
          <w:rFonts w:hint="default" w:ascii="Times New Roman" w:hAnsi="Times New Roman" w:eastAsia="宋体" w:cs="Times New Roman"/>
          <w:position w:val="-14"/>
          <w:sz w:val="21"/>
          <w:szCs w:val="21"/>
        </w:rPr>
        <w:drawing>
          <wp:inline distT="0" distB="0" distL="114300" distR="114300">
            <wp:extent cx="1207770" cy="365760"/>
            <wp:effectExtent l="0" t="0" r="11430" b="15875"/>
            <wp:docPr id="222"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07"/>
                    <pic:cNvPicPr>
                      <a:picLocks noChangeAspect="1"/>
                    </pic:cNvPicPr>
                  </pic:nvPicPr>
                  <pic:blipFill>
                    <a:blip r:embed="rId244">
                      <a:lum/>
                    </a:blip>
                    <a:stretch>
                      <a:fillRect/>
                    </a:stretch>
                  </pic:blipFill>
                  <pic:spPr>
                    <a:xfrm>
                      <a:off x="0" y="0"/>
                      <a:ext cx="1207770" cy="365760"/>
                    </a:xfrm>
                    <a:prstGeom prst="rect">
                      <a:avLst/>
                    </a:prstGeom>
                    <a:noFill/>
                    <a:ln>
                      <a:noFill/>
                    </a:ln>
                  </pic:spPr>
                </pic:pic>
              </a:graphicData>
            </a:graphic>
          </wp:inline>
        </w:drawing>
      </w:r>
      <w:r>
        <w:rPr>
          <w:rFonts w:hint="default" w:ascii="Times New Roman" w:hAnsi="Times New Roman" w:eastAsia="宋体" w:cs="Times New Roman"/>
          <w:bCs/>
          <w:sz w:val="21"/>
          <w:szCs w:val="21"/>
        </w:rPr>
        <w:t>，确定定量结果的相对标准不确定度分量（</w:t>
      </w:r>
      <w:r>
        <w:rPr>
          <w:rFonts w:hint="default" w:ascii="Times New Roman" w:hAnsi="Times New Roman" w:eastAsia="宋体" w:cs="Times New Roman"/>
          <w:position w:val="-18"/>
          <w:sz w:val="21"/>
          <w:szCs w:val="21"/>
        </w:rPr>
        <w:drawing>
          <wp:inline distT="0" distB="0" distL="114300" distR="114300">
            <wp:extent cx="125095" cy="399415"/>
            <wp:effectExtent l="0" t="0" r="8255" b="0"/>
            <wp:docPr id="223"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08"/>
                    <pic:cNvPicPr>
                      <a:picLocks noChangeAspect="1"/>
                    </pic:cNvPicPr>
                  </pic:nvPicPr>
                  <pic:blipFill>
                    <a:blip r:embed="rId245">
                      <a:clrChange>
                        <a:clrFrom>
                          <a:srgbClr val="FFFFFF"/>
                        </a:clrFrom>
                        <a:clrTo>
                          <a:srgbClr val="FFFFFF">
                            <a:alpha val="0"/>
                          </a:srgbClr>
                        </a:clrTo>
                      </a:clrChange>
                      <a:lum/>
                    </a:blip>
                    <a:stretch>
                      <a:fillRect/>
                    </a:stretch>
                  </pic:blipFill>
                  <pic:spPr>
                    <a:xfrm>
                      <a:off x="0" y="0"/>
                      <a:ext cx="125095" cy="399415"/>
                    </a:xfrm>
                    <a:prstGeom prst="rect">
                      <a:avLst/>
                    </a:prstGeom>
                    <a:noFill/>
                    <a:ln>
                      <a:noFill/>
                    </a:ln>
                  </pic:spPr>
                </pic:pic>
              </a:graphicData>
            </a:graphic>
          </wp:inline>
        </w:drawing>
      </w:r>
      <w:r>
        <w:rPr>
          <w:rFonts w:hint="default" w:ascii="Times New Roman" w:hAnsi="Times New Roman" w:eastAsia="宋体" w:cs="Times New Roman"/>
          <w:sz w:val="21"/>
          <w:szCs w:val="21"/>
          <w:vertAlign w:val="subscript"/>
        </w:rPr>
        <w:fldChar w:fldCharType="begin"/>
      </w:r>
      <w:r>
        <w:rPr>
          <w:rFonts w:hint="default" w:ascii="Times New Roman" w:hAnsi="Times New Roman" w:eastAsia="宋体" w:cs="Times New Roman"/>
          <w:sz w:val="21"/>
          <w:szCs w:val="21"/>
          <w:vertAlign w:val="subscript"/>
        </w:rPr>
        <w:instrText xml:space="preserve"> QUOTE </w:instrText>
      </w:r>
      <w:r>
        <w:rPr>
          <w:rFonts w:hint="default" w:ascii="Times New Roman" w:hAnsi="Times New Roman" w:eastAsia="宋体" w:cs="Times New Roman"/>
          <w:position w:val="-18"/>
          <w:sz w:val="21"/>
          <w:szCs w:val="21"/>
        </w:rPr>
        <w:drawing>
          <wp:inline distT="0" distB="0" distL="114300" distR="114300">
            <wp:extent cx="125095" cy="399415"/>
            <wp:effectExtent l="0" t="0" r="8255" b="0"/>
            <wp:docPr id="224"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9"/>
                    <pic:cNvPicPr>
                      <a:picLocks noChangeAspect="1"/>
                    </pic:cNvPicPr>
                  </pic:nvPicPr>
                  <pic:blipFill>
                    <a:blip r:embed="rId245">
                      <a:clrChange>
                        <a:clrFrom>
                          <a:srgbClr val="FFFFFF"/>
                        </a:clrFrom>
                        <a:clrTo>
                          <a:srgbClr val="FFFFFF">
                            <a:alpha val="0"/>
                          </a:srgbClr>
                        </a:clrTo>
                      </a:clrChange>
                      <a:lum/>
                    </a:blip>
                    <a:stretch>
                      <a:fillRect/>
                    </a:stretch>
                  </pic:blipFill>
                  <pic:spPr>
                    <a:xfrm>
                      <a:off x="0" y="0"/>
                      <a:ext cx="125095" cy="399415"/>
                    </a:xfrm>
                    <a:prstGeom prst="rect">
                      <a:avLst/>
                    </a:prstGeom>
                    <a:noFill/>
                    <a:ln>
                      <a:noFill/>
                    </a:ln>
                  </pic:spPr>
                </pic:pic>
              </a:graphicData>
            </a:graphic>
          </wp:inline>
        </w:drawing>
      </w:r>
      <w:r>
        <w:rPr>
          <w:rFonts w:hint="default" w:ascii="Times New Roman" w:hAnsi="Times New Roman" w:eastAsia="宋体" w:cs="Times New Roman"/>
          <w:sz w:val="21"/>
          <w:szCs w:val="21"/>
          <w:vertAlign w:val="subscript"/>
        </w:rPr>
        <w:fldChar w:fldCharType="end"/>
      </w:r>
      <w:r>
        <w:rPr>
          <w:rFonts w:hint="default" w:ascii="Times New Roman" w:hAnsi="Times New Roman" w:eastAsia="宋体" w:cs="Times New Roman"/>
          <w:i/>
          <w:sz w:val="21"/>
          <w:szCs w:val="21"/>
          <w:vertAlign w:val="subscript"/>
        </w:rPr>
        <w:t>r</w:t>
      </w:r>
      <w:r>
        <w:rPr>
          <w:rFonts w:hint="default" w:ascii="Times New Roman" w:hAnsi="Times New Roman" w:eastAsia="宋体" w:cs="Times New Roman"/>
          <w:bCs/>
          <w:sz w:val="21"/>
          <w:szCs w:val="21"/>
        </w:rPr>
        <w:t>）和绝对标准不确定度分量（</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0</w:t>
      </w:r>
      <w:r>
        <w:rPr>
          <w:rFonts w:hint="default" w:ascii="Times New Roman" w:hAnsi="Times New Roman" w:eastAsia="宋体" w:cs="Times New Roman"/>
          <w:bCs/>
          <w:sz w:val="21"/>
          <w:szCs w:val="21"/>
        </w:rPr>
        <w:t>）。</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r</w:t>
      </w:r>
      <w:r>
        <w:rPr>
          <w:rFonts w:hint="default" w:ascii="Times New Roman" w:hAnsi="Times New Roman" w:eastAsia="宋体" w:cs="Times New Roman"/>
          <w:bCs/>
          <w:sz w:val="21"/>
          <w:szCs w:val="21"/>
        </w:rPr>
        <w:t>是回归曲线的斜率，</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0</w:t>
      </w:r>
      <w:r>
        <w:rPr>
          <w:rFonts w:hint="default" w:ascii="Times New Roman" w:hAnsi="Times New Roman" w:eastAsia="宋体" w:cs="Times New Roman"/>
          <w:sz w:val="21"/>
          <w:szCs w:val="21"/>
        </w:rPr>
        <w:t>是</w:t>
      </w:r>
      <w:r>
        <w:rPr>
          <w:rFonts w:hint="default" w:ascii="Times New Roman" w:hAnsi="Times New Roman" w:eastAsia="宋体" w:cs="Times New Roman"/>
          <w:bCs/>
          <w:sz w:val="21"/>
          <w:szCs w:val="21"/>
        </w:rPr>
        <w:t>回归曲线的截距，斜率和截距的计算公式</w:t>
      </w:r>
      <w:r>
        <w:rPr>
          <w:rFonts w:hint="default" w:ascii="Times New Roman" w:hAnsi="Times New Roman" w:eastAsia="宋体" w:cs="Times New Roman"/>
          <w:sz w:val="21"/>
          <w:szCs w:val="21"/>
        </w:rPr>
        <w:t>参照</w:t>
      </w:r>
      <w:r>
        <w:rPr>
          <w:rFonts w:hint="default" w:ascii="Times New Roman" w:hAnsi="Times New Roman" w:eastAsia="宋体" w:cs="Times New Roman"/>
          <w:sz w:val="21"/>
          <w:szCs w:val="21"/>
          <w:highlight w:val="none"/>
        </w:rPr>
        <w:t>本文</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标准曲线各参数的计算方法</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进行计算。</w:t>
      </w:r>
      <w:r>
        <w:rPr>
          <w:rFonts w:hint="default" w:ascii="Times New Roman" w:hAnsi="Times New Roman" w:eastAsia="宋体" w:cs="Times New Roman"/>
          <w:sz w:val="21"/>
          <w:szCs w:val="21"/>
        </w:rPr>
        <w:t>根据</w:t>
      </w:r>
      <w:r>
        <w:rPr>
          <w:rFonts w:hint="eastAsia" w:cs="Times New Roman"/>
          <w:sz w:val="21"/>
          <w:szCs w:val="21"/>
          <w:lang w:eastAsia="zh-CN"/>
        </w:rPr>
        <w:t>表</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eastAsia="宋体" w:cs="Times New Roman"/>
          <w:sz w:val="21"/>
          <w:szCs w:val="21"/>
        </w:rPr>
        <w:t>10中的数据绘制的回归曲线如图</w:t>
      </w:r>
      <w:r>
        <w:rPr>
          <w:rFonts w:hint="eastAsia" w:cs="Times New Roman"/>
          <w:sz w:val="21"/>
          <w:szCs w:val="21"/>
          <w:lang w:val="en-US" w:eastAsia="zh-CN"/>
        </w:rPr>
        <w:t>3</w:t>
      </w:r>
      <w:r>
        <w:rPr>
          <w:rFonts w:hint="default" w:ascii="Times New Roman" w:hAnsi="Times New Roman" w:eastAsia="宋体" w:cs="Times New Roman"/>
          <w:sz w:val="21"/>
          <w:szCs w:val="21"/>
        </w:rPr>
        <w:t>-1所示。回归曲线为y=0.</w:t>
      </w:r>
      <w:r>
        <w:rPr>
          <w:rFonts w:hint="eastAsia" w:cs="Times New Roman"/>
          <w:sz w:val="21"/>
          <w:szCs w:val="21"/>
          <w:lang w:val="en-US" w:eastAsia="zh-CN"/>
        </w:rPr>
        <w:t>0941</w:t>
      </w:r>
      <w:r>
        <w:rPr>
          <w:rFonts w:hint="default" w:ascii="Times New Roman" w:hAnsi="Times New Roman" w:eastAsia="宋体" w:cs="Times New Roman"/>
          <w:sz w:val="21"/>
          <w:szCs w:val="21"/>
        </w:rPr>
        <w:t>x+0.</w:t>
      </w:r>
      <w:r>
        <w:rPr>
          <w:rFonts w:hint="default" w:ascii="Times New Roman" w:hAnsi="Times New Roman" w:eastAsia="宋体" w:cs="Times New Roman"/>
          <w:sz w:val="21"/>
          <w:szCs w:val="21"/>
          <w:lang w:val="en-US" w:eastAsia="zh-CN"/>
        </w:rPr>
        <w:t>00</w:t>
      </w:r>
      <w:r>
        <w:rPr>
          <w:rFonts w:hint="eastAsia" w:cs="Times New Roman"/>
          <w:sz w:val="21"/>
          <w:szCs w:val="21"/>
          <w:lang w:val="en-US" w:eastAsia="zh-CN"/>
        </w:rPr>
        <w:t>02</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QUOTE </w:instrText>
      </w:r>
      <w:r>
        <w:rPr>
          <w:rFonts w:hint="default" w:ascii="Times New Roman" w:hAnsi="Times New Roman" w:eastAsia="宋体" w:cs="Times New Roman"/>
          <w:position w:val="-15"/>
          <w:sz w:val="21"/>
          <w:szCs w:val="21"/>
        </w:rPr>
        <w:drawing>
          <wp:inline distT="0" distB="0" distL="114300" distR="114300">
            <wp:extent cx="38735" cy="293370"/>
            <wp:effectExtent l="0" t="0" r="18415" b="0"/>
            <wp:docPr id="225"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10"/>
                    <pic:cNvPicPr>
                      <a:picLocks noChangeAspect="1"/>
                    </pic:cNvPicPr>
                  </pic:nvPicPr>
                  <pic:blipFill>
                    <a:blip r:embed="rId246">
                      <a:clrChange>
                        <a:clrFrom>
                          <a:srgbClr val="FFFFFF"/>
                        </a:clrFrom>
                        <a:clrTo>
                          <a:srgbClr val="FFFFFF">
                            <a:alpha val="0"/>
                          </a:srgbClr>
                        </a:clrTo>
                      </a:clrChange>
                      <a:lum/>
                    </a:blip>
                    <a:stretch>
                      <a:fillRect/>
                    </a:stretch>
                  </pic:blipFill>
                  <pic:spPr>
                    <a:xfrm>
                      <a:off x="0" y="0"/>
                      <a:ext cx="38735" cy="293370"/>
                    </a:xfrm>
                    <a:prstGeom prst="rect">
                      <a:avLst/>
                    </a:prstGeom>
                    <a:noFill/>
                    <a:ln>
                      <a:noFill/>
                    </a:ln>
                  </pic:spPr>
                </pic:pic>
              </a:graphicData>
            </a:graphic>
          </wp:inline>
        </w:drawing>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w:t>
      </w:r>
      <w:r>
        <w:rPr>
          <w:rFonts w:hint="default" w:ascii="Times New Roman" w:hAnsi="Times New Roman" w:eastAsia="宋体" w:cs="Times New Roman"/>
          <w:bCs/>
          <w:sz w:val="21"/>
          <w:szCs w:val="21"/>
        </w:rPr>
        <w:t>计算的相对标准不确定度分量</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r</w:t>
      </w:r>
      <w:r>
        <w:rPr>
          <w:rFonts w:hint="default" w:ascii="Times New Roman" w:hAnsi="Times New Roman" w:eastAsia="宋体" w:cs="Times New Roman"/>
          <w:bCs/>
          <w:sz w:val="21"/>
          <w:szCs w:val="21"/>
        </w:rPr>
        <w:t>为0.</w:t>
      </w:r>
      <w:r>
        <w:rPr>
          <w:rFonts w:hint="eastAsia" w:cs="Times New Roman"/>
          <w:bCs/>
          <w:sz w:val="21"/>
          <w:szCs w:val="21"/>
          <w:lang w:val="en-US" w:eastAsia="zh-CN"/>
        </w:rPr>
        <w:t>0941</w:t>
      </w:r>
      <w:r>
        <w:rPr>
          <w:rFonts w:hint="default" w:ascii="Times New Roman" w:hAnsi="Times New Roman" w:eastAsia="宋体" w:cs="Times New Roman"/>
          <w:bCs/>
          <w:sz w:val="21"/>
          <w:szCs w:val="21"/>
        </w:rPr>
        <w:t>，绝对标准不确定度分量</w:t>
      </w:r>
      <w:r>
        <w:rPr>
          <w:rFonts w:hint="default" w:ascii="Times New Roman" w:hAnsi="Times New Roman" w:eastAsia="宋体" w:cs="Times New Roman"/>
          <w:bCs/>
          <w:i/>
          <w:iCs/>
          <w:sz w:val="21"/>
          <w:szCs w:val="21"/>
        </w:rPr>
        <w:t>u</w:t>
      </w:r>
      <w:r>
        <w:rPr>
          <w:rFonts w:hint="default" w:ascii="Times New Roman" w:hAnsi="Times New Roman" w:eastAsia="宋体" w:cs="Times New Roman"/>
          <w:bCs/>
          <w:sz w:val="21"/>
          <w:szCs w:val="21"/>
          <w:vertAlign w:val="subscript"/>
        </w:rPr>
        <w:t>0</w:t>
      </w:r>
      <w:r>
        <w:rPr>
          <w:rFonts w:hint="default" w:ascii="Times New Roman" w:hAnsi="Times New Roman" w:eastAsia="宋体" w:cs="Times New Roman"/>
          <w:bCs/>
          <w:sz w:val="21"/>
          <w:szCs w:val="21"/>
        </w:rPr>
        <w:t>为0.0</w:t>
      </w:r>
      <w:r>
        <w:rPr>
          <w:rFonts w:hint="default" w:ascii="Times New Roman" w:hAnsi="Times New Roman" w:eastAsia="宋体" w:cs="Times New Roman"/>
          <w:bCs/>
          <w:sz w:val="21"/>
          <w:szCs w:val="21"/>
          <w:lang w:val="en-US" w:eastAsia="zh-CN"/>
        </w:rPr>
        <w:t>0</w:t>
      </w:r>
      <w:r>
        <w:rPr>
          <w:rFonts w:hint="eastAsia" w:cs="Times New Roman"/>
          <w:bCs/>
          <w:sz w:val="21"/>
          <w:szCs w:val="21"/>
          <w:lang w:val="en-US" w:eastAsia="zh-CN"/>
        </w:rPr>
        <w:t>02</w:t>
      </w:r>
      <w:r>
        <w:rPr>
          <w:rFonts w:hint="default" w:ascii="Times New Roman" w:hAnsi="Times New Roman" w:eastAsia="宋体" w:cs="Times New Roman"/>
          <w:bCs/>
          <w:sz w:val="21"/>
          <w:szCs w:val="21"/>
        </w:rPr>
        <w:t>。</w:t>
      </w:r>
    </w:p>
    <w:p w14:paraId="3392F117">
      <w:pPr>
        <w:ind w:firstLine="420"/>
        <w:jc w:val="center"/>
      </w:pPr>
      <w:r>
        <w:drawing>
          <wp:inline distT="0" distB="0" distL="114300" distR="114300">
            <wp:extent cx="3583305" cy="1994535"/>
            <wp:effectExtent l="5080" t="4445" r="12065" b="2032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2D75FD1D">
      <w:pPr>
        <w:pStyle w:val="22"/>
        <w:spacing w:line="240" w:lineRule="auto"/>
        <w:jc w:val="center"/>
        <w:rPr>
          <w:rFonts w:hint="default" w:ascii="Times New Roman" w:hAnsi="Times New Roman" w:eastAsia="黑体" w:cs="Calibri"/>
          <w:kern w:val="2"/>
          <w:sz w:val="18"/>
          <w:szCs w:val="22"/>
          <w:lang w:val="en-US" w:eastAsia="zh-CN" w:bidi="ar-SA"/>
        </w:rPr>
      </w:pPr>
      <w:r>
        <w:rPr>
          <w:rFonts w:hint="default" w:ascii="Times New Roman" w:hAnsi="Times New Roman" w:eastAsia="黑体" w:cs="Calibri"/>
          <w:kern w:val="2"/>
          <w:sz w:val="18"/>
          <w:szCs w:val="22"/>
          <w:lang w:val="en-US" w:eastAsia="zh-CN" w:bidi="ar-SA"/>
        </w:rPr>
        <w:t>图</w:t>
      </w:r>
      <w:r>
        <w:rPr>
          <w:rFonts w:hint="eastAsia" w:ascii="Times New Roman" w:eastAsia="黑体" w:cs="Calibri"/>
          <w:kern w:val="2"/>
          <w:sz w:val="18"/>
          <w:szCs w:val="22"/>
          <w:lang w:val="en-US" w:eastAsia="zh-CN" w:bidi="ar-SA"/>
        </w:rPr>
        <w:t>3</w:t>
      </w:r>
      <w:r>
        <w:rPr>
          <w:rFonts w:hint="default" w:ascii="Times New Roman" w:hAnsi="Times New Roman" w:eastAsia="黑体" w:cs="Calibri"/>
          <w:kern w:val="2"/>
          <w:sz w:val="18"/>
          <w:szCs w:val="22"/>
          <w:lang w:val="en-US" w:eastAsia="zh-CN" w:bidi="ar-SA"/>
        </w:rPr>
        <w:t>-1 实验室间联合验证结果再现性标准差与验证样品检测平均值间的线性关系</w:t>
      </w:r>
    </w:p>
    <w:p w14:paraId="63537617">
      <w:pPr>
        <w:keepNext w:val="0"/>
        <w:keepLines w:val="0"/>
        <w:pageBreakBefore w:val="0"/>
        <w:widowControl/>
        <w:kinsoku/>
        <w:wordWrap/>
        <w:overflowPunct/>
        <w:topLinePunct w:val="0"/>
        <w:autoSpaceDE/>
        <w:autoSpaceDN/>
        <w:bidi w:val="0"/>
        <w:adjustRightInd/>
        <w:snapToGrid/>
        <w:spacing w:line="312" w:lineRule="auto"/>
        <w:ind w:left="0" w:leftChars="0" w:firstLine="420" w:firstLineChars="200"/>
        <w:jc w:val="lef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检测结束后，检测实验室将试样检测结果的平均值(</w:t>
      </w:r>
      <w:r>
        <w:rPr>
          <w:rFonts w:hint="default" w:ascii="Times New Roman" w:hAnsi="Times New Roman" w:eastAsia="宋体" w:cs="Times New Roman"/>
          <w:bCs/>
          <w:position w:val="-6"/>
          <w:sz w:val="21"/>
          <w:szCs w:val="21"/>
        </w:rPr>
        <w:object>
          <v:shape id="_x0000_i1095" o:spt="75" type="#_x0000_t75" style="height:18.9pt;width:8.9pt;" o:ole="t" filled="f" o:preferrelative="t" stroked="f" coordsize="21600,21600">
            <v:path/>
            <v:fill on="f" focussize="0,0"/>
            <v:stroke on="f" joinstyle="miter"/>
            <v:imagedata r:id="rId249" o:title=""/>
            <o:lock v:ext="edit" aspectratio="t"/>
            <w10:wrap type="none"/>
            <w10:anchorlock/>
          </v:shape>
          <o:OLEObject Type="Embed" ProgID="Equation.KSEE3" ShapeID="_x0000_i1095" DrawAspect="Content" ObjectID="_1468075795" r:id="rId248">
            <o:LockedField>false</o:LockedField>
          </o:OLEObject>
        </w:object>
      </w:r>
      <w:r>
        <w:rPr>
          <w:rFonts w:hint="default" w:ascii="Times New Roman" w:hAnsi="Times New Roman" w:eastAsia="宋体" w:cs="Times New Roman"/>
          <w:bCs/>
          <w:sz w:val="21"/>
          <w:szCs w:val="21"/>
        </w:rPr>
        <w:fldChar w:fldCharType="begin"/>
      </w:r>
      <w:r>
        <w:rPr>
          <w:rFonts w:hint="default" w:ascii="Times New Roman" w:hAnsi="Times New Roman" w:eastAsia="宋体" w:cs="Times New Roman"/>
          <w:bCs/>
          <w:sz w:val="21"/>
          <w:szCs w:val="21"/>
        </w:rPr>
        <w:instrText xml:space="preserve"> QUOTE </w:instrText>
      </w:r>
      <w:r>
        <w:rPr>
          <w:rFonts w:hint="default" w:ascii="Times New Roman" w:hAnsi="Times New Roman" w:eastAsia="宋体" w:cs="Times New Roman"/>
          <w:position w:val="-15"/>
          <w:sz w:val="21"/>
          <w:szCs w:val="21"/>
        </w:rPr>
        <w:drawing>
          <wp:inline distT="0" distB="0" distL="114300" distR="114300">
            <wp:extent cx="67310" cy="293370"/>
            <wp:effectExtent l="0" t="0" r="8890" b="0"/>
            <wp:docPr id="227"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13"/>
                    <pic:cNvPicPr>
                      <a:picLocks noChangeAspect="1"/>
                    </pic:cNvPicPr>
                  </pic:nvPicPr>
                  <pic:blipFill>
                    <a:blip r:embed="rId49">
                      <a:clrChange>
                        <a:clrFrom>
                          <a:srgbClr val="FFFFFF"/>
                        </a:clrFrom>
                        <a:clrTo>
                          <a:srgbClr val="FFFFFF">
                            <a:alpha val="0"/>
                          </a:srgbClr>
                        </a:clrTo>
                      </a:clrChange>
                      <a:lum/>
                    </a:blip>
                    <a:stretch>
                      <a:fillRect/>
                    </a:stretch>
                  </pic:blipFill>
                  <pic:spPr>
                    <a:xfrm>
                      <a:off x="0" y="0"/>
                      <a:ext cx="67310" cy="293370"/>
                    </a:xfrm>
                    <a:prstGeom prst="rect">
                      <a:avLst/>
                    </a:prstGeom>
                    <a:noFill/>
                    <a:ln>
                      <a:noFill/>
                    </a:ln>
                  </pic:spPr>
                </pic:pic>
              </a:graphicData>
            </a:graphic>
          </wp:inline>
        </w:drawing>
      </w:r>
      <w:r>
        <w:rPr>
          <w:rFonts w:hint="default" w:ascii="Times New Roman" w:hAnsi="Times New Roman" w:eastAsia="宋体" w:cs="Times New Roman"/>
          <w:bCs/>
          <w:sz w:val="21"/>
          <w:szCs w:val="21"/>
        </w:rPr>
        <w:fldChar w:fldCharType="end"/>
      </w:r>
      <w:r>
        <w:rPr>
          <w:rFonts w:hint="default" w:ascii="Times New Roman" w:hAnsi="Times New Roman" w:eastAsia="宋体" w:cs="Times New Roman"/>
          <w:bCs/>
          <w:sz w:val="21"/>
          <w:szCs w:val="21"/>
        </w:rPr>
        <w:t>)带入下面的公式，计算定量结果的标准不确定度：</w:t>
      </w:r>
    </w:p>
    <w:p w14:paraId="6B3CB644">
      <w:pPr>
        <w:keepNext w:val="0"/>
        <w:keepLines w:val="0"/>
        <w:pageBreakBefore w:val="0"/>
        <w:widowControl/>
        <w:kinsoku/>
        <w:wordWrap/>
        <w:overflowPunct/>
        <w:topLinePunct w:val="0"/>
        <w:autoSpaceDE/>
        <w:autoSpaceDN/>
        <w:bidi w:val="0"/>
        <w:adjustRightInd/>
        <w:snapToGrid/>
        <w:spacing w:line="312" w:lineRule="auto"/>
        <w:ind w:left="0" w:leftChars="0" w:firstLine="420" w:firstLineChars="200"/>
        <w:jc w:val="center"/>
        <w:textAlignment w:val="auto"/>
        <w:rPr>
          <w:rFonts w:hint="default" w:ascii="Times New Roman" w:hAnsi="Times New Roman" w:eastAsia="宋体" w:cs="Times New Roman"/>
          <w:sz w:val="21"/>
          <w:szCs w:val="21"/>
        </w:rPr>
      </w:pPr>
      <m:oMathPara>
        <m:oMath>
          <m:r>
            <m:rPr/>
            <w:rPr>
              <w:rFonts w:hint="default" w:ascii="Cambria Math" w:hAnsi="Cambria Math" w:eastAsia="宋体" w:cs="Times New Roman"/>
              <w:sz w:val="21"/>
              <w:szCs w:val="21"/>
            </w:rPr>
            <m:t>u</m:t>
          </m:r>
          <m:r>
            <m:rPr>
              <m:sty m:val="p"/>
            </m:rPr>
            <w:rPr>
              <w:rFonts w:hint="default" w:ascii="Cambria Math" w:hAnsi="Cambria Math" w:eastAsia="宋体" w:cs="Times New Roman"/>
              <w:sz w:val="21"/>
              <w:szCs w:val="21"/>
            </w:rPr>
            <m:t>=</m:t>
          </m:r>
          <m:rad>
            <m:radPr>
              <m:degHide m:val="1"/>
              <m:ctrlPr>
                <w:rPr>
                  <w:rFonts w:hint="default" w:ascii="Cambria Math" w:hAnsi="Cambria Math" w:eastAsia="宋体" w:cs="Times New Roman"/>
                  <w:sz w:val="21"/>
                  <w:szCs w:val="21"/>
                </w:rPr>
              </m:ctrlPr>
            </m:radPr>
            <m:deg>
              <m:ctrlPr>
                <w:rPr>
                  <w:rFonts w:hint="default" w:ascii="Cambria Math" w:hAnsi="Cambria Math" w:eastAsia="宋体" w:cs="Times New Roman"/>
                  <w:sz w:val="21"/>
                  <w:szCs w:val="21"/>
                </w:rPr>
              </m:ctrlPr>
            </m:deg>
            <m:e>
              <m:sSup>
                <m:sSupPr>
                  <m:ctrlPr>
                    <w:rPr>
                      <w:rFonts w:hint="default" w:ascii="Cambria Math" w:hAnsi="Cambria Math" w:eastAsia="宋体" w:cs="Times New Roman"/>
                      <w:i/>
                      <w:sz w:val="21"/>
                      <w:szCs w:val="21"/>
                    </w:rPr>
                  </m:ctrlPr>
                </m:sSupPr>
                <m:e>
                  <m:r>
                    <m:rPr/>
                    <w:rPr>
                      <w:rFonts w:hint="default" w:ascii="Cambria Math" w:hAnsi="Cambria Math" w:eastAsia="宋体" w:cs="Times New Roman"/>
                      <w:sz w:val="21"/>
                      <w:szCs w:val="21"/>
                    </w:rPr>
                    <m:t>0.0</m:t>
                  </m:r>
                  <m:r>
                    <m:rPr/>
                    <w:rPr>
                      <w:rFonts w:hint="default" w:ascii="Cambria Math" w:hAnsi="Cambria Math" w:eastAsia="宋体" w:cs="Times New Roman"/>
                      <w:sz w:val="21"/>
                      <w:szCs w:val="21"/>
                      <w:lang w:val="en-US" w:eastAsia="zh-CN"/>
                    </w:rPr>
                    <m:t>0</m:t>
                  </m:r>
                  <m:r>
                    <m:rPr/>
                    <w:rPr>
                      <w:rFonts w:hint="default" w:ascii="Cambria Math" w:hAnsi="Cambria Math" w:cs="Times New Roman"/>
                      <w:sz w:val="21"/>
                      <w:szCs w:val="21"/>
                      <w:lang w:val="en-US" w:eastAsia="zh-CN"/>
                    </w:rPr>
                    <m:t>02</m:t>
                  </m:r>
                  <m:ctrlPr>
                    <w:rPr>
                      <w:rFonts w:hint="default" w:ascii="Cambria Math" w:hAnsi="Cambria Math" w:eastAsia="宋体" w:cs="Times New Roman"/>
                      <w:i/>
                      <w:sz w:val="21"/>
                      <w:szCs w:val="21"/>
                    </w:rPr>
                  </m:ctrlPr>
                </m:e>
                <m:sup>
                  <m:r>
                    <m:rPr/>
                    <w:rPr>
                      <w:rFonts w:hint="default" w:ascii="Cambria Math" w:hAnsi="Cambria Math" w:eastAsia="宋体" w:cs="Times New Roman"/>
                      <w:sz w:val="21"/>
                      <w:szCs w:val="21"/>
                    </w:rPr>
                    <m:t>2</m:t>
                  </m:r>
                  <m:ctrlPr>
                    <w:rPr>
                      <w:rFonts w:hint="default" w:ascii="Cambria Math" w:hAnsi="Cambria Math" w:eastAsia="宋体" w:cs="Times New Roman"/>
                      <w:i/>
                      <w:sz w:val="21"/>
                      <w:szCs w:val="21"/>
                    </w:rPr>
                  </m:ctrlPr>
                </m:sup>
              </m:sSup>
              <m:r>
                <m:rPr/>
                <w:rPr>
                  <w:rFonts w:hint="default" w:ascii="Cambria Math" w:hAnsi="Cambria Math" w:eastAsia="宋体" w:cs="Times New Roman"/>
                  <w:sz w:val="21"/>
                  <w:szCs w:val="21"/>
                </w:rPr>
                <m:t>+</m:t>
              </m:r>
              <m:sSup>
                <m:sSupPr>
                  <m:ctrlPr>
                    <w:rPr>
                      <w:rFonts w:hint="default" w:ascii="Cambria Math" w:hAnsi="Cambria Math" w:eastAsia="宋体" w:cs="Times New Roman"/>
                      <w:i/>
                      <w:sz w:val="21"/>
                      <w:szCs w:val="21"/>
                    </w:rPr>
                  </m:ctrlPr>
                </m:sSupPr>
                <m:e>
                  <m:r>
                    <m:rPr/>
                    <w:rPr>
                      <w:rFonts w:hint="default" w:ascii="Cambria Math" w:hAnsi="Cambria Math" w:eastAsia="宋体" w:cs="Times New Roman"/>
                      <w:sz w:val="21"/>
                      <w:szCs w:val="21"/>
                    </w:rPr>
                    <m:t>(0.</m:t>
                  </m:r>
                  <m:r>
                    <m:rPr/>
                    <w:rPr>
                      <w:rFonts w:hint="default" w:ascii="Cambria Math" w:hAnsi="Cambria Math" w:cs="Times New Roman"/>
                      <w:sz w:val="21"/>
                      <w:szCs w:val="21"/>
                      <w:lang w:val="en-US" w:eastAsia="zh-CN"/>
                    </w:rPr>
                    <m:t>0941</m:t>
                  </m:r>
                  <m:r>
                    <m:rPr/>
                    <w:rPr>
                      <w:rFonts w:hint="default" w:ascii="Cambria Math" w:hAnsi="Cambria Math" w:eastAsia="宋体" w:cs="Times New Roman"/>
                      <w:sz w:val="21"/>
                      <w:szCs w:val="21"/>
                    </w:rPr>
                    <m:t>×</m:t>
                  </m:r>
                  <m:acc>
                    <m:accPr>
                      <m:chr m:val="̿"/>
                      <m:ctrlPr>
                        <w:rPr>
                          <w:rFonts w:hint="default" w:ascii="Cambria Math" w:hAnsi="Cambria Math" w:eastAsia="宋体" w:cs="Times New Roman"/>
                          <w:i/>
                          <w:sz w:val="21"/>
                          <w:szCs w:val="21"/>
                        </w:rPr>
                      </m:ctrlPr>
                    </m:accPr>
                    <m:e>
                      <m:r>
                        <m:rPr/>
                        <w:rPr>
                          <w:rFonts w:hint="default" w:ascii="Cambria Math" w:hAnsi="Cambria Math" w:eastAsia="宋体" w:cs="Times New Roman"/>
                          <w:sz w:val="21"/>
                          <w:szCs w:val="21"/>
                        </w:rPr>
                        <m:t>c</m:t>
                      </m:r>
                      <m:ctrlPr>
                        <w:rPr>
                          <w:rFonts w:hint="default" w:ascii="Cambria Math" w:hAnsi="Cambria Math" w:eastAsia="宋体" w:cs="Times New Roman"/>
                          <w:i/>
                          <w:sz w:val="21"/>
                          <w:szCs w:val="21"/>
                        </w:rPr>
                      </m:ctrlPr>
                    </m:e>
                  </m:acc>
                  <m:r>
                    <m:rPr/>
                    <w:rPr>
                      <w:rFonts w:hint="default" w:ascii="Cambria Math" w:hAnsi="Cambria Math" w:eastAsia="宋体" w:cs="Times New Roman"/>
                      <w:sz w:val="21"/>
                      <w:szCs w:val="21"/>
                    </w:rPr>
                    <m:t>)</m:t>
                  </m:r>
                  <m:ctrlPr>
                    <w:rPr>
                      <w:rFonts w:hint="default" w:ascii="Cambria Math" w:hAnsi="Cambria Math" w:eastAsia="宋体" w:cs="Times New Roman"/>
                      <w:i/>
                      <w:sz w:val="21"/>
                      <w:szCs w:val="21"/>
                    </w:rPr>
                  </m:ctrlPr>
                </m:e>
                <m:sup>
                  <m:r>
                    <m:rPr/>
                    <w:rPr>
                      <w:rFonts w:hint="default" w:ascii="Cambria Math" w:hAnsi="Cambria Math" w:eastAsia="宋体" w:cs="Times New Roman"/>
                      <w:sz w:val="21"/>
                      <w:szCs w:val="21"/>
                    </w:rPr>
                    <m:t>2</m:t>
                  </m:r>
                  <m:ctrlPr>
                    <w:rPr>
                      <w:rFonts w:hint="default" w:ascii="Cambria Math" w:hAnsi="Cambria Math" w:eastAsia="宋体" w:cs="Times New Roman"/>
                      <w:i/>
                      <w:sz w:val="21"/>
                      <w:szCs w:val="21"/>
                    </w:rPr>
                  </m:ctrlPr>
                </m:sup>
              </m:sSup>
              <m:ctrlPr>
                <w:rPr>
                  <w:rFonts w:hint="default" w:ascii="Cambria Math" w:hAnsi="Cambria Math" w:eastAsia="宋体" w:cs="Times New Roman"/>
                  <w:sz w:val="21"/>
                  <w:szCs w:val="21"/>
                </w:rPr>
              </m:ctrlPr>
            </m:e>
          </m:rad>
        </m:oMath>
      </m:oMathPara>
    </w:p>
    <w:p w14:paraId="573D2EBF">
      <w:pPr>
        <w:keepNext w:val="0"/>
        <w:keepLines w:val="0"/>
        <w:pageBreakBefore w:val="0"/>
        <w:kinsoku/>
        <w:wordWrap/>
        <w:overflowPunct/>
        <w:topLinePunct w:val="0"/>
        <w:autoSpaceDE/>
        <w:autoSpaceDN/>
        <w:bidi w:val="0"/>
        <w:adjustRightInd/>
        <w:snapToGrid/>
        <w:spacing w:line="312"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Cs/>
          <w:kern w:val="0"/>
          <w:sz w:val="21"/>
          <w:szCs w:val="21"/>
        </w:rPr>
        <w:t>随着检测工作的开展，每个实验室需评定自己的测量不确定度。如自行评定本实验室的测量不确定度，实验室可基于足够数量的阳性样品或有证标准物质，采用自上而下或自下而上的方法进行。</w:t>
      </w:r>
    </w:p>
    <w:p w14:paraId="6F429DFD">
      <w:pPr>
        <w:keepNext w:val="0"/>
        <w:keepLines w:val="0"/>
        <w:pageBreakBefore w:val="0"/>
        <w:kinsoku/>
        <w:wordWrap/>
        <w:overflowPunct/>
        <w:topLinePunct w:val="0"/>
        <w:autoSpaceDE/>
        <w:autoSpaceDN/>
        <w:bidi w:val="0"/>
        <w:adjustRightInd/>
        <w:snapToGrid/>
        <w:spacing w:line="312" w:lineRule="auto"/>
        <w:ind w:left="0" w:leftChars="0" w:firstLine="420" w:firstLineChars="200"/>
        <w:jc w:val="lef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取扩展因子</w:t>
      </w:r>
      <w:r>
        <w:rPr>
          <w:rFonts w:hint="default" w:ascii="Times New Roman" w:hAnsi="Times New Roman" w:eastAsia="宋体" w:cs="Times New Roman"/>
          <w:bCs/>
          <w:i/>
          <w:iCs/>
          <w:sz w:val="21"/>
          <w:szCs w:val="21"/>
        </w:rPr>
        <w:t>k</w:t>
      </w:r>
      <w:r>
        <w:rPr>
          <w:rFonts w:hint="default" w:ascii="Times New Roman" w:hAnsi="Times New Roman" w:eastAsia="宋体" w:cs="Times New Roman"/>
          <w:bCs/>
          <w:sz w:val="21"/>
          <w:szCs w:val="21"/>
        </w:rPr>
        <w:t>=2，则试样定量结果的扩展不确定度（</w:t>
      </w:r>
      <w:r>
        <w:rPr>
          <w:rFonts w:hint="default" w:ascii="Times New Roman" w:hAnsi="Times New Roman" w:eastAsia="宋体" w:cs="Times New Roman"/>
          <w:bCs/>
          <w:i/>
          <w:sz w:val="21"/>
          <w:szCs w:val="21"/>
        </w:rPr>
        <w:t>U</w:t>
      </w:r>
      <w:r>
        <w:rPr>
          <w:rFonts w:hint="default" w:ascii="Times New Roman" w:hAnsi="Times New Roman" w:eastAsia="宋体" w:cs="Times New Roman"/>
          <w:bCs/>
          <w:sz w:val="21"/>
          <w:szCs w:val="21"/>
        </w:rPr>
        <w:t>）表示为：</w:t>
      </w:r>
    </w:p>
    <w:p w14:paraId="13E03FD9">
      <w:pPr>
        <w:keepNext w:val="0"/>
        <w:keepLines w:val="0"/>
        <w:pageBreakBefore w:val="0"/>
        <w:widowControl/>
        <w:kinsoku/>
        <w:wordWrap/>
        <w:overflowPunct/>
        <w:topLinePunct w:val="0"/>
        <w:autoSpaceDE/>
        <w:autoSpaceDN/>
        <w:bidi w:val="0"/>
        <w:adjustRightInd/>
        <w:snapToGrid/>
        <w:spacing w:line="312" w:lineRule="auto"/>
        <w:ind w:left="0" w:leftChars="0"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050" cy="328930"/>
            <wp:effectExtent l="0" t="0" r="6350" b="0"/>
            <wp:docPr id="229"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15"/>
                    <pic:cNvPicPr>
                      <a:picLocks noChangeAspect="1"/>
                    </pic:cNvPicPr>
                  </pic:nvPicPr>
                  <pic:blipFill>
                    <a:blip r:embed="rId250">
                      <a:clrChange>
                        <a:clrFrom>
                          <a:srgbClr val="FFFFFF"/>
                        </a:clrFrom>
                        <a:clrTo>
                          <a:srgbClr val="FFFFFF">
                            <a:alpha val="0"/>
                          </a:srgbClr>
                        </a:clrTo>
                      </a:clrChange>
                      <a:lum/>
                    </a:blip>
                    <a:stretch>
                      <a:fillRect/>
                    </a:stretch>
                  </pic:blipFill>
                  <pic:spPr>
                    <a:xfrm>
                      <a:off x="0" y="0"/>
                      <a:ext cx="527050" cy="328930"/>
                    </a:xfrm>
                    <a:prstGeom prst="rect">
                      <a:avLst/>
                    </a:prstGeom>
                    <a:noFill/>
                    <a:ln>
                      <a:noFill/>
                    </a:ln>
                  </pic:spPr>
                </pic:pic>
              </a:graphicData>
            </a:graphic>
          </wp:inline>
        </w:drawing>
      </w:r>
    </w:p>
    <w:p w14:paraId="29119156">
      <w:pPr>
        <w:keepNext w:val="0"/>
        <w:keepLines w:val="0"/>
        <w:pageBreakBefore w:val="0"/>
        <w:kinsoku/>
        <w:wordWrap/>
        <w:overflowPunct/>
        <w:topLinePunct w:val="0"/>
        <w:autoSpaceDE/>
        <w:autoSpaceDN/>
        <w:bidi w:val="0"/>
        <w:adjustRightInd/>
        <w:snapToGrid/>
        <w:spacing w:line="312" w:lineRule="auto"/>
        <w:ind w:left="0" w:leftChars="0" w:firstLine="420" w:firstLineChars="200"/>
        <w:jc w:val="center"/>
        <w:textAlignment w:val="auto"/>
        <w:rPr>
          <w:rFonts w:hint="default" w:ascii="Times New Roman" w:hAnsi="Times New Roman" w:eastAsia="宋体" w:cs="Times New Roman"/>
          <w:color w:val="auto"/>
          <w:sz w:val="21"/>
          <w:szCs w:val="21"/>
          <w:highlight w:val="none"/>
        </w:rPr>
      </w:pPr>
    </w:p>
    <w:p w14:paraId="6A03CCED">
      <w:pPr>
        <w:keepNext w:val="0"/>
        <w:keepLines w:val="0"/>
        <w:pageBreakBefore w:val="0"/>
        <w:kinsoku/>
        <w:wordWrap/>
        <w:overflowPunct/>
        <w:topLinePunct w:val="0"/>
        <w:autoSpaceDE/>
        <w:autoSpaceDN/>
        <w:bidi w:val="0"/>
        <w:adjustRightInd/>
        <w:snapToGrid/>
        <w:spacing w:line="312" w:lineRule="auto"/>
        <w:ind w:left="0" w:leftChars="0"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式中：</w:t>
      </w:r>
    </w:p>
    <w:p w14:paraId="12A7B971">
      <w:pPr>
        <w:keepNext w:val="0"/>
        <w:keepLines w:val="0"/>
        <w:pageBreakBefore w:val="0"/>
        <w:kinsoku/>
        <w:wordWrap/>
        <w:overflowPunct/>
        <w:topLinePunct w:val="0"/>
        <w:autoSpaceDE/>
        <w:autoSpaceDN/>
        <w:bidi w:val="0"/>
        <w:adjustRightInd/>
        <w:snapToGrid/>
        <w:spacing w:line="312" w:lineRule="auto"/>
        <w:ind w:left="0" w:leftChars="0"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i/>
          <w:iCs/>
          <w:color w:val="auto"/>
          <w:sz w:val="21"/>
          <w:szCs w:val="21"/>
          <w:highlight w:val="none"/>
        </w:rPr>
        <w:t>U</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—试样定量结果的扩展不确定度</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bCs/>
          <w:sz w:val="21"/>
          <w:szCs w:val="21"/>
          <w:highlight w:val="none"/>
          <w:lang w:val="en-US" w:eastAsia="zh-CN"/>
        </w:rPr>
        <w:t>保留2位有效数字</w:t>
      </w: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bCs/>
          <w:color w:val="auto"/>
          <w:sz w:val="21"/>
          <w:szCs w:val="21"/>
          <w:highlight w:val="none"/>
        </w:rPr>
        <w:t>；</w:t>
      </w:r>
    </w:p>
    <w:p w14:paraId="596F3431">
      <w:pPr>
        <w:keepNext w:val="0"/>
        <w:keepLines w:val="0"/>
        <w:pageBreakBefore w:val="0"/>
        <w:kinsoku/>
        <w:wordWrap/>
        <w:overflowPunct/>
        <w:topLinePunct w:val="0"/>
        <w:autoSpaceDE/>
        <w:autoSpaceDN/>
        <w:bidi w:val="0"/>
        <w:adjustRightInd/>
        <w:snapToGrid/>
        <w:spacing w:line="312" w:lineRule="auto"/>
        <w:ind w:left="0" w:leftChars="0"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i/>
          <w:iCs/>
          <w:color w:val="auto"/>
          <w:sz w:val="21"/>
          <w:szCs w:val="21"/>
          <w:highlight w:val="none"/>
        </w:rPr>
        <w:t>k</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—包含因子，在95%的置信度下</w:t>
      </w:r>
      <w:r>
        <w:rPr>
          <w:rFonts w:hint="default" w:ascii="Times New Roman" w:hAnsi="Times New Roman" w:eastAsia="宋体" w:cs="Times New Roman"/>
          <w:bCs/>
          <w:i/>
          <w:iCs/>
          <w:color w:val="auto"/>
          <w:sz w:val="21"/>
          <w:szCs w:val="21"/>
          <w:highlight w:val="none"/>
        </w:rPr>
        <w:t>k</w:t>
      </w:r>
      <w:r>
        <w:rPr>
          <w:rFonts w:hint="default" w:ascii="Times New Roman" w:hAnsi="Times New Roman" w:eastAsia="宋体" w:cs="Times New Roman"/>
          <w:bCs/>
          <w:color w:val="auto"/>
          <w:sz w:val="21"/>
          <w:szCs w:val="21"/>
          <w:highlight w:val="none"/>
        </w:rPr>
        <w:t>=2；</w:t>
      </w:r>
    </w:p>
    <w:p w14:paraId="499D7368">
      <w:pPr>
        <w:keepNext w:val="0"/>
        <w:keepLines w:val="0"/>
        <w:pageBreakBefore w:val="0"/>
        <w:kinsoku/>
        <w:wordWrap/>
        <w:overflowPunct/>
        <w:topLinePunct w:val="0"/>
        <w:autoSpaceDE/>
        <w:autoSpaceDN/>
        <w:bidi w:val="0"/>
        <w:adjustRightInd/>
        <w:snapToGrid/>
        <w:spacing w:line="312" w:lineRule="auto"/>
        <w:ind w:left="0" w:leftChars="0"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i/>
          <w:iCs/>
          <w:color w:val="auto"/>
          <w:sz w:val="21"/>
          <w:szCs w:val="21"/>
          <w:highlight w:val="none"/>
        </w:rPr>
        <w:t>u</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—试样定量结果的标准不确定度</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w:t>
      </w:r>
    </w:p>
    <w:p w14:paraId="2FEB5791">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jc w:val="left"/>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注：上述不确定度是基于多家实验室联合验证数据的结果。如需自行评定本实验室的测量不确定度</w:t>
      </w: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bCs/>
          <w:sz w:val="21"/>
          <w:szCs w:val="21"/>
          <w:highlight w:val="none"/>
          <w:lang w:val="en-US" w:eastAsia="zh-CN"/>
        </w:rPr>
        <w:t>实验室可</w:t>
      </w:r>
      <w:r>
        <w:rPr>
          <w:rFonts w:hint="default" w:ascii="Times New Roman" w:hAnsi="Times New Roman" w:eastAsia="宋体" w:cs="Times New Roman"/>
          <w:bCs/>
          <w:sz w:val="21"/>
          <w:szCs w:val="21"/>
          <w:highlight w:val="none"/>
        </w:rPr>
        <w:t>依据</w:t>
      </w:r>
      <w:r>
        <w:rPr>
          <w:rFonts w:hint="default" w:ascii="Times New Roman" w:hAnsi="Times New Roman" w:eastAsia="宋体" w:cs="Times New Roman"/>
          <w:bCs/>
          <w:sz w:val="21"/>
          <w:szCs w:val="21"/>
          <w:highlight w:val="none"/>
          <w:lang w:val="en-US" w:eastAsia="zh-CN"/>
        </w:rPr>
        <w:t>现行有效</w:t>
      </w:r>
      <w:r>
        <w:rPr>
          <w:rFonts w:hint="default" w:ascii="Times New Roman" w:hAnsi="Times New Roman" w:eastAsia="宋体" w:cs="Times New Roman"/>
          <w:bCs/>
          <w:sz w:val="21"/>
          <w:szCs w:val="21"/>
          <w:highlight w:val="none"/>
        </w:rPr>
        <w:t>标准</w:t>
      </w:r>
      <w:r>
        <w:rPr>
          <w:rFonts w:hint="default" w:ascii="Times New Roman" w:hAnsi="Times New Roman" w:eastAsia="宋体" w:cs="Times New Roman"/>
          <w:bCs/>
          <w:sz w:val="21"/>
          <w:szCs w:val="21"/>
          <w:highlight w:val="none"/>
          <w:lang w:val="en-US" w:eastAsia="zh-CN"/>
        </w:rPr>
        <w:t>进行</w:t>
      </w:r>
      <w:r>
        <w:rPr>
          <w:rFonts w:hint="default" w:ascii="Times New Roman" w:hAnsi="Times New Roman" w:eastAsia="宋体" w:cs="Times New Roman"/>
          <w:bCs/>
          <w:sz w:val="21"/>
          <w:szCs w:val="21"/>
          <w:highlight w:val="none"/>
        </w:rPr>
        <w:t>评定。</w:t>
      </w:r>
    </w:p>
    <w:p w14:paraId="39B85C65">
      <w:pPr>
        <w:pStyle w:val="5"/>
        <w:bidi w:val="0"/>
        <w:spacing w:before="50" w:beforeLines="50" w:after="50" w:afterLines="50" w:line="240" w:lineRule="auto"/>
        <w:ind w:firstLine="420" w:firstLineChars="200"/>
        <w:rPr>
          <w:rFonts w:hint="default" w:ascii="Times New Roman" w:hAnsi="Times New Roman" w:eastAsia="黑体" w:cs="Calibri"/>
          <w:b w:val="0"/>
        </w:rPr>
      </w:pPr>
      <w:r>
        <w:rPr>
          <w:rFonts w:hint="eastAsia" w:ascii="Times New Roman" w:hAnsi="Times New Roman" w:eastAsia="黑体" w:cs="Calibri"/>
          <w:b w:val="0"/>
          <w:lang w:val="en-US" w:eastAsia="zh-CN"/>
        </w:rPr>
        <w:t xml:space="preserve">6.3 </w:t>
      </w:r>
      <w:r>
        <w:rPr>
          <w:rFonts w:hint="default" w:ascii="Times New Roman" w:hAnsi="Times New Roman" w:eastAsia="黑体" w:cs="Calibri"/>
          <w:b w:val="0"/>
          <w:lang w:val="en-US" w:eastAsia="zh-CN"/>
        </w:rPr>
        <w:t>试样定量结果的标示</w:t>
      </w:r>
    </w:p>
    <w:p w14:paraId="195804A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按</w:t>
      </w:r>
      <w:r>
        <w:rPr>
          <w:rFonts w:hint="eastAsia" w:cs="Times New Roman"/>
          <w:bCs/>
          <w:color w:val="auto"/>
          <w:sz w:val="21"/>
          <w:szCs w:val="21"/>
          <w:highlight w:val="none"/>
          <w:lang w:eastAsia="zh-CN"/>
        </w:rPr>
        <w:t>如下</w:t>
      </w:r>
      <w:r>
        <w:rPr>
          <w:rFonts w:hint="default" w:ascii="Times New Roman" w:hAnsi="Times New Roman" w:eastAsia="宋体" w:cs="Times New Roman"/>
          <w:bCs/>
          <w:color w:val="auto"/>
          <w:sz w:val="21"/>
          <w:szCs w:val="21"/>
          <w:highlight w:val="none"/>
        </w:rPr>
        <w:t>公式标示试样转化体含量的定量结果：</w:t>
      </w:r>
    </w:p>
    <w:p w14:paraId="40D2FC5C">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textAlignment w:val="auto"/>
        <w:rPr>
          <w:rFonts w:hint="default" w:ascii="Times New Roman" w:hAnsi="Times New Roman" w:eastAsia="宋体" w:cs="Times New Roman"/>
          <w:bCs/>
          <w:color w:val="auto"/>
          <w:sz w:val="21"/>
          <w:szCs w:val="21"/>
          <w:highlight w:val="none"/>
        </w:rPr>
      </w:pPr>
      <m:oMathPara>
        <m:oMath>
          <m:r>
            <m:rPr/>
            <w:rPr>
              <w:rFonts w:hint="default" w:ascii="Cambria Math" w:hAnsi="Cambria Math" w:eastAsia="宋体" w:cs="Times New Roman"/>
              <w:color w:val="auto"/>
              <w:sz w:val="21"/>
              <w:szCs w:val="21"/>
              <w:highlight w:val="none"/>
            </w:rPr>
            <m:t>C</m:t>
          </m:r>
          <m:r>
            <m:rPr>
              <m:sty m:val="p"/>
            </m:rPr>
            <w:rPr>
              <w:rFonts w:hint="default" w:ascii="Cambria Math" w:hAnsi="Cambria Math" w:eastAsia="宋体" w:cs="Times New Roman"/>
              <w:color w:val="auto"/>
              <w:sz w:val="21"/>
              <w:szCs w:val="21"/>
              <w:highlight w:val="none"/>
            </w:rPr>
            <m:t>=</m:t>
          </m:r>
          <m:acc>
            <m:accPr>
              <m:chr m:val="̿"/>
              <m:ctrlPr>
                <w:rPr>
                  <w:rFonts w:hint="default" w:ascii="Cambria Math" w:hAnsi="Cambria Math" w:eastAsia="宋体" w:cs="Times New Roman"/>
                  <w:i/>
                  <w:color w:val="auto"/>
                  <w:sz w:val="21"/>
                  <w:szCs w:val="21"/>
                  <w:highlight w:val="none"/>
                </w:rPr>
              </m:ctrlPr>
            </m:accPr>
            <m:e>
              <m:r>
                <m:rPr/>
                <w:rPr>
                  <w:rFonts w:hint="default" w:ascii="Cambria Math" w:hAnsi="Cambria Math" w:eastAsia="宋体" w:cs="Times New Roman"/>
                  <w:color w:val="auto"/>
                  <w:sz w:val="21"/>
                  <w:szCs w:val="21"/>
                  <w:highlight w:val="none"/>
                </w:rPr>
                <m:t>c</m:t>
              </m:r>
              <m:ctrlPr>
                <w:rPr>
                  <w:rFonts w:hint="default" w:ascii="Cambria Math" w:hAnsi="Cambria Math" w:eastAsia="宋体" w:cs="Times New Roman"/>
                  <w:i/>
                  <w:color w:val="auto"/>
                  <w:sz w:val="21"/>
                  <w:szCs w:val="21"/>
                  <w:highlight w:val="none"/>
                </w:rPr>
              </m:ctrlPr>
            </m:e>
          </m:acc>
          <m:r>
            <m:rPr>
              <m:sty m:val="p"/>
            </m:rPr>
            <w:rPr>
              <w:rFonts w:hint="default" w:ascii="Cambria Math" w:hAnsi="Cambria Math" w:eastAsia="宋体" w:cs="Times New Roman"/>
              <w:color w:val="auto"/>
              <w:sz w:val="21"/>
              <w:szCs w:val="21"/>
              <w:highlight w:val="none"/>
            </w:rPr>
            <m:t>±</m:t>
          </m:r>
          <m:r>
            <m:rPr/>
            <w:rPr>
              <w:rFonts w:hint="default" w:ascii="Cambria Math" w:hAnsi="Cambria Math" w:eastAsia="宋体" w:cs="Times New Roman"/>
              <w:color w:val="auto"/>
              <w:sz w:val="21"/>
              <w:szCs w:val="21"/>
              <w:highlight w:val="none"/>
            </w:rPr>
            <m:t>U</m:t>
          </m:r>
        </m:oMath>
      </m:oMathPara>
    </w:p>
    <w:p w14:paraId="7AFA217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式中：</w:t>
      </w:r>
    </w:p>
    <w:p w14:paraId="727E210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auto"/>
          <w:sz w:val="21"/>
          <w:szCs w:val="21"/>
          <w:highlight w:val="none"/>
        </w:rPr>
      </w:pPr>
      <m:oMath>
        <m:r>
          <m:rPr/>
          <w:rPr>
            <w:rFonts w:hint="default" w:ascii="Cambria Math" w:hAnsi="Cambria Math" w:eastAsia="宋体" w:cs="Times New Roman"/>
            <w:color w:val="auto"/>
            <w:sz w:val="21"/>
            <w:szCs w:val="21"/>
            <w:highlight w:val="none"/>
          </w:rPr>
          <m:t>C</m:t>
        </m:r>
      </m:oMath>
      <w:r>
        <w:rPr>
          <w:rFonts w:hint="default" w:ascii="Times New Roman" w:hAnsi="Times New Roman" w:eastAsia="宋体" w:cs="Times New Roman"/>
          <w:bCs/>
          <w:color w:val="auto"/>
          <w:sz w:val="21"/>
          <w:szCs w:val="21"/>
          <w:highlight w:val="none"/>
        </w:rPr>
        <w:t xml:space="preserve"> </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w:t>
      </w:r>
      <w:r>
        <w:rPr>
          <w:rFonts w:hint="eastAsia" w:ascii="Times New Roman" w:hAnsi="Times New Roman"/>
          <w:bCs/>
          <w:color w:val="auto"/>
          <w:szCs w:val="21"/>
          <w:highlight w:val="none"/>
        </w:rPr>
        <w:t>试样中</w:t>
      </w:r>
      <w:r>
        <w:rPr>
          <w:rFonts w:hint="eastAsia" w:ascii="Times New Roman" w:hAnsi="Times New Roman"/>
          <w:bCs/>
          <w:color w:val="auto"/>
          <w:szCs w:val="21"/>
          <w:highlight w:val="none"/>
          <w:lang w:eastAsia="zh-CN"/>
        </w:rPr>
        <w:t>抗虫耐除草剂玉米QY2569-42</w:t>
      </w:r>
      <w:r>
        <w:rPr>
          <w:rFonts w:hint="eastAsia" w:ascii="Times New Roman" w:hAnsi="Times New Roman"/>
          <w:bCs/>
          <w:color w:val="auto"/>
          <w:szCs w:val="21"/>
          <w:highlight w:val="none"/>
        </w:rPr>
        <w:t>转化体含量的定量结果（%）</w:t>
      </w:r>
      <w:r>
        <w:rPr>
          <w:rFonts w:hint="default" w:ascii="Times New Roman" w:hAnsi="Times New Roman" w:eastAsia="宋体" w:cs="Times New Roman"/>
          <w:bCs/>
          <w:color w:val="auto"/>
          <w:sz w:val="21"/>
          <w:szCs w:val="21"/>
          <w:highlight w:val="none"/>
        </w:rPr>
        <w:t>；</w:t>
      </w:r>
    </w:p>
    <w:p w14:paraId="0971B0FA">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auto"/>
          <w:sz w:val="21"/>
          <w:szCs w:val="21"/>
          <w:highlight w:val="none"/>
        </w:rPr>
      </w:pPr>
      <m:oMath>
        <m:acc>
          <m:accPr>
            <m:chr m:val="̿"/>
            <m:ctrlPr>
              <w:rPr>
                <w:rFonts w:hint="default" w:ascii="Cambria Math" w:hAnsi="Cambria Math" w:eastAsia="宋体" w:cs="Times New Roman"/>
                <w:bCs/>
                <w:color w:val="auto"/>
                <w:sz w:val="21"/>
                <w:szCs w:val="21"/>
                <w:highlight w:val="none"/>
              </w:rPr>
            </m:ctrlPr>
          </m:accPr>
          <m:e>
            <m:r>
              <m:rPr>
                <m:sty m:val="p"/>
              </m:rPr>
              <w:rPr>
                <w:rFonts w:hint="default" w:ascii="Cambria Math" w:hAnsi="Cambria Math" w:eastAsia="宋体" w:cs="Times New Roman"/>
                <w:color w:val="auto"/>
                <w:sz w:val="21"/>
                <w:szCs w:val="21"/>
                <w:highlight w:val="none"/>
              </w:rPr>
              <m:t>c</m:t>
            </m:r>
            <m:ctrlPr>
              <w:rPr>
                <w:rFonts w:hint="default" w:ascii="Cambria Math" w:hAnsi="Cambria Math" w:eastAsia="宋体" w:cs="Times New Roman"/>
                <w:bCs/>
                <w:color w:val="auto"/>
                <w:sz w:val="21"/>
                <w:szCs w:val="21"/>
                <w:highlight w:val="none"/>
              </w:rPr>
            </m:ctrlPr>
          </m:e>
        </m:acc>
      </m:oMath>
      <w:r>
        <w:rPr>
          <w:rFonts w:hint="default" w:ascii="Times New Roman" w:hAnsi="Times New Roman" w:eastAsia="宋体" w:cs="Times New Roman"/>
          <w:bCs/>
          <w:color w:val="auto"/>
          <w:sz w:val="21"/>
          <w:szCs w:val="21"/>
          <w:highlight w:val="none"/>
        </w:rPr>
        <w:t xml:space="preserve"> </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w:t>
      </w:r>
      <w:r>
        <w:rPr>
          <w:rFonts w:hint="eastAsia" w:ascii="Times New Roman" w:hAnsi="Times New Roman"/>
          <w:bCs/>
          <w:szCs w:val="21"/>
        </w:rPr>
        <w:t>试样3个平行子样3次重复检测数据平均值</w:t>
      </w:r>
      <w:r>
        <w:rPr>
          <w:rFonts w:hint="eastAsia" w:ascii="Times New Roman" w:hAnsi="Times New Roman"/>
          <w:bCs/>
          <w:szCs w:val="21"/>
          <w:lang w:eastAsia="zh-CN"/>
        </w:rPr>
        <w:t>（</w:t>
      </w:r>
      <w:r>
        <w:rPr>
          <w:rFonts w:hint="eastAsia" w:ascii="Times New Roman" w:hAnsi="Times New Roman"/>
          <w:bCs/>
          <w:szCs w:val="21"/>
          <w:lang w:val="en-US" w:eastAsia="zh-CN"/>
        </w:rPr>
        <w:t>%）</w:t>
      </w:r>
      <w:r>
        <w:rPr>
          <w:rFonts w:hint="eastAsia" w:ascii="Times New Roman" w:hAnsi="Times New Roman"/>
          <w:bCs/>
          <w:szCs w:val="21"/>
        </w:rPr>
        <w:t>，</w:t>
      </w:r>
      <w:r>
        <w:rPr>
          <w:rFonts w:hint="eastAsia" w:ascii="Times New Roman" w:hAnsi="Times New Roman"/>
          <w:bCs/>
          <w:color w:val="000000"/>
          <w:szCs w:val="21"/>
          <w:highlight w:val="none"/>
        </w:rPr>
        <w:t>有效数字最后一位按不确定度有效数字最后一位修约</w:t>
      </w:r>
      <w:r>
        <w:rPr>
          <w:rFonts w:hint="default" w:ascii="Times New Roman" w:hAnsi="Times New Roman" w:eastAsia="宋体" w:cs="Times New Roman"/>
          <w:bCs/>
          <w:color w:val="auto"/>
          <w:sz w:val="21"/>
          <w:szCs w:val="21"/>
          <w:highlight w:val="none"/>
        </w:rPr>
        <w:t>；</w:t>
      </w:r>
    </w:p>
    <w:p w14:paraId="58A30038">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i/>
          <w:color w:val="auto"/>
          <w:sz w:val="21"/>
          <w:szCs w:val="21"/>
          <w:highlight w:val="none"/>
        </w:rPr>
        <w:t>U</w:t>
      </w:r>
      <w:r>
        <w:rPr>
          <w:rFonts w:hint="default" w:ascii="Times New Roman" w:hAnsi="Times New Roman" w:eastAsia="宋体" w:cs="Times New Roman"/>
          <w:bCs/>
          <w:color w:val="auto"/>
          <w:sz w:val="21"/>
          <w:szCs w:val="21"/>
          <w:highlight w:val="none"/>
        </w:rPr>
        <w:t xml:space="preserve"> </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w:t>
      </w:r>
      <w:r>
        <w:rPr>
          <w:rFonts w:hint="eastAsia" w:ascii="Times New Roman" w:hAnsi="Times New Roman"/>
          <w:bCs/>
          <w:color w:val="auto"/>
          <w:szCs w:val="21"/>
          <w:highlight w:val="none"/>
        </w:rPr>
        <w:t>试样定量结果的扩展不确定度</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w:t>
      </w:r>
      <w:r>
        <w:rPr>
          <w:rFonts w:hint="eastAsia" w:ascii="Times New Roman" w:hAnsi="Times New Roman"/>
          <w:bCs/>
          <w:color w:val="auto"/>
          <w:szCs w:val="21"/>
          <w:highlight w:val="none"/>
          <w:lang w:eastAsia="zh-CN"/>
        </w:rPr>
        <w:t>）（保留</w:t>
      </w:r>
      <w:r>
        <w:rPr>
          <w:rFonts w:hint="eastAsia" w:ascii="Times New Roman" w:hAnsi="Times New Roman"/>
          <w:bCs/>
          <w:color w:val="auto"/>
          <w:szCs w:val="21"/>
          <w:highlight w:val="none"/>
          <w:lang w:val="en-US" w:eastAsia="zh-CN"/>
        </w:rPr>
        <w:t>2位有效数字</w:t>
      </w:r>
      <w:r>
        <w:rPr>
          <w:rFonts w:hint="eastAsia" w:ascii="Times New Roman" w:hAnsi="Times New Roman"/>
          <w:bCs/>
          <w:color w:val="auto"/>
          <w:szCs w:val="21"/>
          <w:highlight w:val="none"/>
          <w:lang w:eastAsia="zh-CN"/>
        </w:rPr>
        <w:t>）</w:t>
      </w:r>
      <w:r>
        <w:rPr>
          <w:rFonts w:hint="eastAsia" w:cs="Times New Roman"/>
          <w:bCs/>
          <w:color w:val="000000"/>
          <w:sz w:val="21"/>
          <w:szCs w:val="21"/>
          <w:highlight w:val="none"/>
          <w:lang w:eastAsia="zh-CN"/>
        </w:rPr>
        <w:t>。</w:t>
      </w:r>
    </w:p>
    <w:p w14:paraId="064CFD71">
      <w:pPr>
        <w:pStyle w:val="3"/>
        <w:bidi w:val="0"/>
        <w:rPr>
          <w:rFonts w:hint="default"/>
          <w:lang w:val="en-US" w:eastAsia="zh-CN"/>
        </w:rPr>
      </w:pPr>
      <w:bookmarkStart w:id="32" w:name="_Toc23482"/>
      <w:r>
        <w:rPr>
          <w:rFonts w:hint="eastAsia"/>
          <w:lang w:val="en-US" w:eastAsia="zh-CN"/>
        </w:rPr>
        <w:t>（二）预期的经济效益、社会效益和生态效益</w:t>
      </w:r>
      <w:bookmarkEnd w:id="32"/>
    </w:p>
    <w:p w14:paraId="4A41081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highlight w:val="yellow"/>
        </w:rPr>
      </w:pPr>
      <w:r>
        <w:rPr>
          <w:rFonts w:hint="eastAsia"/>
          <w:highlight w:val="none"/>
        </w:rPr>
        <w:t>本标准将为农业行政主管部门对生物技术产品监管、或有效处置意外扩散事件，保护消费者知情权，避免非法生产造成</w:t>
      </w:r>
      <w:r>
        <w:rPr>
          <w:rFonts w:hint="eastAsia"/>
          <w:highlight w:val="none"/>
          <w:lang w:val="en-US" w:eastAsia="zh-CN"/>
        </w:rPr>
        <w:t>严重</w:t>
      </w:r>
      <w:r>
        <w:rPr>
          <w:rFonts w:hint="eastAsia"/>
          <w:highlight w:val="none"/>
        </w:rPr>
        <w:t>经济损失，维护农产品贸易秩序，保障农业生物技术产业推进和舆论安全，发挥重要的技术支撑作用，社会效益显著。另外，利用这些检测技术开发商业化试剂盒、并开展检测服务，也将为全国检测机构创造良好的经济效益。</w:t>
      </w:r>
    </w:p>
    <w:p w14:paraId="72681401">
      <w:pPr>
        <w:pStyle w:val="2"/>
        <w:bidi w:val="0"/>
        <w:rPr>
          <w:rFonts w:hint="eastAsia"/>
          <w:highlight w:val="none"/>
        </w:rPr>
      </w:pPr>
      <w:bookmarkStart w:id="33" w:name="_Toc9384"/>
      <w:r>
        <w:rPr>
          <w:rFonts w:hint="eastAsia"/>
          <w:highlight w:val="none"/>
        </w:rPr>
        <w:t>四、与国际、国外同类标准技术内容的对比情况</w:t>
      </w:r>
      <w:bookmarkEnd w:id="33"/>
    </w:p>
    <w:p w14:paraId="40FEE26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Times New Roman"/>
          <w:highlight w:val="none"/>
        </w:rPr>
      </w:pPr>
      <w:r>
        <w:rPr>
          <w:rFonts w:hint="eastAsia" w:ascii="Times New Roman" w:hAnsi="Times New Roman" w:cs="Times New Roman"/>
          <w:highlight w:val="none"/>
        </w:rPr>
        <w:t>本标准严格遵循我国已发布的《转基因植物及其产品成分检测</w:t>
      </w:r>
      <w:r>
        <w:rPr>
          <w:rFonts w:hint="eastAsia" w:ascii="Times New Roman" w:hAnsi="Times New Roman" w:cs="Times New Roman"/>
          <w:highlight w:val="none"/>
          <w:lang w:val="en-US" w:eastAsia="zh-CN"/>
        </w:rPr>
        <w:t xml:space="preserve"> </w:t>
      </w:r>
      <w:r>
        <w:rPr>
          <w:rFonts w:hint="eastAsia" w:ascii="Times New Roman" w:hAnsi="Times New Roman" w:cs="Times New Roman"/>
          <w:highlight w:val="none"/>
        </w:rPr>
        <w:t>实时荧光定量PCR方法制定指南》（</w:t>
      </w:r>
      <w:r>
        <w:rPr>
          <w:rFonts w:hint="eastAsia" w:cs="Times New Roman"/>
          <w:highlight w:val="none"/>
          <w:lang w:eastAsia="zh-CN"/>
        </w:rPr>
        <w:t>农业部2259号公告—5—2015</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标准</w:t>
      </w:r>
      <w:r>
        <w:rPr>
          <w:rFonts w:hint="eastAsia" w:ascii="Times New Roman" w:hAnsi="Times New Roman" w:cs="Times New Roman"/>
          <w:highlight w:val="none"/>
        </w:rPr>
        <w:t>开展研制，并参考了测量方法与结果准确度评估的国家标准。本标准主要技术内容与国内现行有效的转基因植物转化体特异性检测方法相一致。主要技术参数，如定性PCR方法的特异性、灵敏度、实时荧光PCR定量方法的检出限、定量限、准确性、精确性等，均达到了方法指南的要求。</w:t>
      </w:r>
    </w:p>
    <w:p w14:paraId="25148E15">
      <w:pPr>
        <w:pStyle w:val="2"/>
        <w:bidi w:val="0"/>
        <w:rPr>
          <w:rFonts w:hint="eastAsia"/>
        </w:rPr>
      </w:pPr>
      <w:bookmarkStart w:id="34" w:name="_Toc5485"/>
      <w:r>
        <w:rPr>
          <w:rFonts w:hint="eastAsia"/>
          <w:lang w:val="en-US" w:eastAsia="zh-CN"/>
        </w:rPr>
        <w:t>五、</w:t>
      </w:r>
      <w:r>
        <w:rPr>
          <w:rFonts w:hint="eastAsia"/>
        </w:rPr>
        <w:t>以国际标准为基础的起草情况，以及是否合规引用或者采用国际国外标准，并说明未采用国际标准的原因</w:t>
      </w:r>
      <w:bookmarkEnd w:id="34"/>
    </w:p>
    <w:p w14:paraId="37B0BA1B">
      <w:pPr>
        <w:ind w:firstLine="420" w:firstLineChars="200"/>
        <w:rPr>
          <w:rFonts w:hint="eastAsia"/>
        </w:rPr>
      </w:pPr>
      <w:r>
        <w:rPr>
          <w:rFonts w:hint="eastAsia"/>
        </w:rPr>
        <w:t>本标准内容无对应的相关国际标准。</w:t>
      </w:r>
    </w:p>
    <w:p w14:paraId="301BEC08">
      <w:pPr>
        <w:pStyle w:val="2"/>
        <w:numPr>
          <w:ilvl w:val="0"/>
          <w:numId w:val="6"/>
        </w:numPr>
        <w:bidi w:val="0"/>
        <w:rPr>
          <w:rFonts w:hint="eastAsia"/>
        </w:rPr>
      </w:pPr>
      <w:bookmarkStart w:id="35" w:name="_Toc6945"/>
      <w:r>
        <w:rPr>
          <w:rFonts w:hint="eastAsia"/>
        </w:rPr>
        <w:t>与现行标准、法律法规和强制性标准的关系</w:t>
      </w:r>
      <w:bookmarkEnd w:id="35"/>
    </w:p>
    <w:p w14:paraId="1D157A3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rPr>
      </w:pPr>
      <w:r>
        <w:rPr>
          <w:rFonts w:hint="eastAsia"/>
        </w:rPr>
        <w:t>目前，我国尚没有专门针对</w:t>
      </w:r>
      <w:r>
        <w:rPr>
          <w:rFonts w:hint="eastAsia"/>
          <w:lang w:val="en-US" w:eastAsia="zh-CN"/>
        </w:rPr>
        <w:t>抗虫</w:t>
      </w:r>
      <w:r>
        <w:rPr>
          <w:rFonts w:hint="eastAsia"/>
        </w:rPr>
        <w:t>耐除草剂</w:t>
      </w:r>
      <w:r>
        <w:rPr>
          <w:rFonts w:hint="eastAsia"/>
          <w:lang w:val="en-US" w:eastAsia="zh-CN"/>
        </w:rPr>
        <w:t>玉米</w:t>
      </w:r>
      <w:r>
        <w:rPr>
          <w:rFonts w:hint="eastAsia"/>
          <w:lang w:eastAsia="zh-CN"/>
        </w:rPr>
        <w:t>QY2569-42</w:t>
      </w:r>
      <w:r>
        <w:rPr>
          <w:rFonts w:hint="eastAsia"/>
        </w:rPr>
        <w:t>的检测标准。本标准作为推荐性标准，在国内首次提出，与现行相关法律、法规和强制性标准没有冲突。</w:t>
      </w:r>
    </w:p>
    <w:p w14:paraId="6E53FD95">
      <w:pPr>
        <w:pStyle w:val="2"/>
        <w:bidi w:val="0"/>
      </w:pPr>
      <w:bookmarkStart w:id="36" w:name="_Toc4589"/>
      <w:r>
        <w:rPr>
          <w:rFonts w:hint="eastAsia"/>
          <w:lang w:val="en-US" w:eastAsia="zh-CN"/>
        </w:rPr>
        <w:t>七、</w:t>
      </w:r>
      <w:r>
        <w:t>重大分歧意见的处理经过和依据</w:t>
      </w:r>
      <w:bookmarkEnd w:id="36"/>
    </w:p>
    <w:p w14:paraId="56583CF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pPr>
      <w:r>
        <w:t>无重大分歧意见。</w:t>
      </w:r>
    </w:p>
    <w:p w14:paraId="1B91A2BD">
      <w:pPr>
        <w:pStyle w:val="2"/>
        <w:numPr>
          <w:ilvl w:val="0"/>
          <w:numId w:val="0"/>
        </w:numPr>
        <w:bidi w:val="0"/>
        <w:rPr>
          <w:rFonts w:hint="eastAsia"/>
          <w:highlight w:val="yellow"/>
        </w:rPr>
      </w:pPr>
      <w:bookmarkStart w:id="37" w:name="_Toc9733"/>
      <w:r>
        <w:rPr>
          <w:rFonts w:hint="eastAsia"/>
          <w:highlight w:val="none"/>
          <w:lang w:val="en-US" w:eastAsia="zh-CN"/>
        </w:rPr>
        <w:t>八、</w:t>
      </w:r>
      <w:r>
        <w:rPr>
          <w:rFonts w:hint="eastAsia"/>
          <w:highlight w:val="none"/>
        </w:rPr>
        <w:t>涉及专利的说明</w:t>
      </w:r>
      <w:bookmarkEnd w:id="37"/>
    </w:p>
    <w:p w14:paraId="7EA438F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rPr>
      </w:pPr>
      <w:r>
        <w:rPr>
          <w:rFonts w:hint="eastAsia"/>
        </w:rPr>
        <w:t>本标准内容不涉及专利和专利纠纷。</w:t>
      </w:r>
    </w:p>
    <w:p w14:paraId="6BFBCA90">
      <w:pPr>
        <w:pStyle w:val="2"/>
        <w:numPr>
          <w:ilvl w:val="0"/>
          <w:numId w:val="0"/>
        </w:numPr>
        <w:bidi w:val="0"/>
      </w:pPr>
      <w:bookmarkStart w:id="38" w:name="_Toc4022"/>
      <w:r>
        <w:rPr>
          <w:rFonts w:hint="eastAsia"/>
          <w:lang w:val="en-US" w:eastAsia="zh-CN"/>
        </w:rPr>
        <w:t>九、</w:t>
      </w:r>
      <w:r>
        <w:t>标准作为强制性或推荐性标准发布的意见</w:t>
      </w:r>
      <w:r>
        <w:rPr>
          <w:rFonts w:hint="eastAsia"/>
        </w:rPr>
        <w:t>及实施建议</w:t>
      </w:r>
      <w:bookmarkEnd w:id="38"/>
    </w:p>
    <w:p w14:paraId="5426D2E6">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cs="Times New Roman"/>
        </w:rPr>
      </w:pPr>
      <w:r>
        <w:rPr>
          <w:rFonts w:hint="eastAsia" w:ascii="Times New Roman" w:hAnsi="Times New Roman" w:cs="Times New Roman"/>
        </w:rPr>
        <w:t>建议本标准作为推荐性标准发布。由于耐</w:t>
      </w:r>
      <w:r>
        <w:rPr>
          <w:rFonts w:hint="eastAsia" w:ascii="Times New Roman" w:hAnsi="Times New Roman" w:cs="Times New Roman"/>
          <w:lang w:eastAsia="zh-CN"/>
        </w:rPr>
        <w:t>除草剂玉米</w:t>
      </w:r>
      <w:r>
        <w:rPr>
          <w:rFonts w:hint="eastAsia" w:cs="Times New Roman"/>
          <w:lang w:eastAsia="zh-CN"/>
        </w:rPr>
        <w:t>QY2569-42</w:t>
      </w:r>
      <w:r>
        <w:rPr>
          <w:rFonts w:hint="eastAsia" w:ascii="Times New Roman" w:hAnsi="Times New Roman" w:cs="Times New Roman"/>
        </w:rPr>
        <w:t>在202</w:t>
      </w:r>
      <w:r>
        <w:rPr>
          <w:rFonts w:hint="eastAsia" w:ascii="Times New Roman" w:hAnsi="Times New Roman" w:cs="Times New Roman"/>
          <w:lang w:val="en-US" w:eastAsia="zh-CN"/>
        </w:rPr>
        <w:t>3</w:t>
      </w:r>
      <w:r>
        <w:rPr>
          <w:rFonts w:hint="eastAsia" w:ascii="Times New Roman" w:hAnsi="Times New Roman" w:cs="Times New Roman"/>
        </w:rPr>
        <w:t>年已获批我国</w:t>
      </w:r>
      <w:r>
        <w:rPr>
          <w:rFonts w:hint="eastAsia" w:ascii="Times New Roman" w:hAnsi="Times New Roman" w:cs="Times New Roman"/>
          <w:lang w:val="en-US" w:eastAsia="zh-CN"/>
        </w:rPr>
        <w:t>生产应用</w:t>
      </w:r>
      <w:r>
        <w:rPr>
          <w:rFonts w:hint="eastAsia" w:ascii="Times New Roman" w:hAnsi="Times New Roman" w:cs="Times New Roman"/>
        </w:rPr>
        <w:t>安全证书，建议尽快发布并实施本标准。</w:t>
      </w:r>
    </w:p>
    <w:p w14:paraId="488FF981">
      <w:pPr>
        <w:pStyle w:val="2"/>
        <w:bidi w:val="0"/>
        <w:rPr>
          <w:rFonts w:hint="eastAsia"/>
        </w:rPr>
      </w:pPr>
      <w:bookmarkStart w:id="39" w:name="_Toc29289"/>
      <w:r>
        <w:rPr>
          <w:rFonts w:hint="eastAsia"/>
          <w:lang w:val="en-US" w:eastAsia="zh-CN"/>
        </w:rPr>
        <w:t>十、</w:t>
      </w:r>
      <w:r>
        <w:rPr>
          <w:rFonts w:hint="eastAsia"/>
        </w:rPr>
        <w:t>其他应说明的事项</w:t>
      </w:r>
      <w:bookmarkEnd w:id="39"/>
    </w:p>
    <w:p w14:paraId="778B200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无。</w:t>
      </w:r>
    </w:p>
    <w:p w14:paraId="36E568DE">
      <w:pPr>
        <w:pStyle w:val="2"/>
        <w:bidi w:val="0"/>
      </w:pPr>
      <w:bookmarkStart w:id="40" w:name="_Toc30189"/>
      <w:r>
        <w:rPr>
          <w:rFonts w:hint="eastAsia"/>
          <w:lang w:val="en-US" w:eastAsia="zh-CN"/>
        </w:rPr>
        <w:t>十一、</w:t>
      </w:r>
      <w:r>
        <w:t>参考文献</w:t>
      </w:r>
      <w:bookmarkEnd w:id="40"/>
    </w:p>
    <w:p w14:paraId="46F6EBA2">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https://gm.agbioinvestor.com/</w:t>
      </w:r>
    </w:p>
    <w:p w14:paraId="701578FF">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"http://www.moa.gov.cn/ztzl/zjyqwgz/spxx/202405/t20240508_6454996.htm"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highlight w:val="none"/>
        </w:rPr>
        <w:t>2024年农业转</w:t>
      </w:r>
      <w:r>
        <w:rPr>
          <w:rFonts w:hint="default" w:ascii="Times New Roman" w:hAnsi="Times New Roman" w:eastAsia="宋体" w:cs="Times New Roman"/>
          <w:sz w:val="21"/>
          <w:szCs w:val="21"/>
        </w:rPr>
        <w:t>基因生物安全证书批准清单（</w:t>
      </w:r>
      <w:r>
        <w:rPr>
          <w:rFonts w:hint="eastAsia" w:cs="Times New Roman"/>
          <w:sz w:val="21"/>
          <w:szCs w:val="21"/>
          <w:lang w:eastAsia="zh-CN"/>
        </w:rPr>
        <w:t>三</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https://www.moa.gov.cn/ztzl/zjyqwgz/spxx/202412/P020241231317886844635.pdf</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w:t>
      </w:r>
    </w:p>
    <w:p w14:paraId="0113F64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《转基因植物及其产品成分检测定性PCR方法制定指南》（</w:t>
      </w:r>
      <w:r>
        <w:rPr>
          <w:rFonts w:hint="eastAsia" w:cs="Times New Roman"/>
          <w:sz w:val="21"/>
          <w:szCs w:val="21"/>
          <w:lang w:eastAsia="zh-CN"/>
        </w:rPr>
        <w:t>农业部2259号公告—4—2015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w:t>
      </w:r>
    </w:p>
    <w:p w14:paraId="07ED179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《转基因植物及其产品成分检测</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实时荧光定量PCR方法制定指南》（</w:t>
      </w:r>
      <w:r>
        <w:rPr>
          <w:rFonts w:hint="eastAsia" w:cs="Times New Roman"/>
          <w:sz w:val="21"/>
          <w:szCs w:val="21"/>
          <w:lang w:eastAsia="zh-CN"/>
        </w:rPr>
        <w:t>农业部2259号公告—5—2015</w:t>
      </w:r>
      <w:r>
        <w:rPr>
          <w:rFonts w:hint="default" w:ascii="Times New Roman" w:hAnsi="Times New Roman" w:eastAsia="宋体" w:cs="Times New Roman"/>
          <w:sz w:val="21"/>
          <w:szCs w:val="21"/>
        </w:rPr>
        <w:t>）</w:t>
      </w:r>
    </w:p>
    <w:p w14:paraId="5A437D5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 《标准化工作导则  第1部分：标准化文件的结构和起草规则》（</w:t>
      </w:r>
      <w:r>
        <w:rPr>
          <w:rFonts w:hint="eastAsia" w:cs="Times New Roman"/>
          <w:sz w:val="21"/>
          <w:szCs w:val="21"/>
          <w:lang w:eastAsia="zh-CN"/>
        </w:rPr>
        <w:t>GB/T 1.1—2020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w:t>
      </w:r>
    </w:p>
    <w:p w14:paraId="5FFEC6B0">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《转基因植物及其产品成分检测 玉米内标准基因定性PCR方法》（</w:t>
      </w:r>
      <w:r>
        <w:rPr>
          <w:rFonts w:hint="eastAsia" w:cs="Times New Roman"/>
          <w:sz w:val="21"/>
          <w:szCs w:val="21"/>
          <w:lang w:eastAsia="zh-CN"/>
        </w:rPr>
        <w:t>农业部1861号公告—3—2012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w:t>
      </w:r>
    </w:p>
    <w:p w14:paraId="14818EEA">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]《转基因植物检测》.农业部科技发展中心编.中国农业出版社，2008年</w:t>
      </w:r>
      <w:r>
        <w:rPr>
          <w:rFonts w:hint="default" w:ascii="Times New Roman" w:hAnsi="Times New Roman" w:eastAsia="宋体" w:cs="Times New Roman"/>
          <w:sz w:val="21"/>
          <w:szCs w:val="21"/>
          <w:lang w:val="en-US" w:eastAsia="zh-CN"/>
        </w:rPr>
        <w:t>.</w:t>
      </w:r>
    </w:p>
    <w:p w14:paraId="513EBD98">
      <w:pPr>
        <w:keepNext w:val="0"/>
        <w:keepLines w:val="0"/>
        <w:pageBreakBefore w:val="0"/>
        <w:widowControl w:val="0"/>
        <w:tabs>
          <w:tab w:val="left" w:pos="3315"/>
        </w:tabs>
        <w:kinsoku/>
        <w:wordWrap/>
        <w:overflowPunct/>
        <w:topLinePunct w:val="0"/>
        <w:autoSpaceDE/>
        <w:autoSpaceDN/>
        <w:bidi w:val="0"/>
        <w:adjustRightInd/>
        <w:snapToGrid/>
        <w:spacing w:line="312"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 《测量方法与结果的准确度 第2部分：确定标准测量方法重复性与再现性的基本方法》</w:t>
      </w:r>
      <w:r>
        <w:rPr>
          <w:rFonts w:hint="default" w:ascii="Times New Roman" w:hAnsi="Times New Roman" w:eastAsia="宋体" w:cs="Times New Roman"/>
          <w:sz w:val="21"/>
          <w:szCs w:val="21"/>
          <w:lang w:eastAsia="zh-CN"/>
        </w:rPr>
        <w:t>（</w:t>
      </w:r>
      <w:r>
        <w:rPr>
          <w:rFonts w:hint="eastAsia" w:cs="Times New Roman"/>
          <w:sz w:val="21"/>
          <w:szCs w:val="21"/>
          <w:lang w:eastAsia="zh-CN"/>
        </w:rPr>
        <w:t>GB/T 6379.2—2004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w:t>
      </w:r>
    </w:p>
    <w:p w14:paraId="12F5CA36">
      <w:pPr>
        <w:pStyle w:val="2"/>
        <w:bidi w:val="0"/>
        <w:rPr>
          <w:rFonts w:ascii="Times New Roman" w:hAnsi="Times New Roman" w:cs="Calibri"/>
        </w:rPr>
      </w:pPr>
      <w:bookmarkStart w:id="41" w:name="_Toc1975"/>
      <w:r>
        <w:rPr>
          <w:rFonts w:ascii="Times New Roman" w:hAnsi="Times New Roman" w:cs="Calibri"/>
        </w:rPr>
        <w:t>十</w:t>
      </w:r>
      <w:r>
        <w:rPr>
          <w:rFonts w:hint="eastAsia" w:ascii="Times New Roman" w:hAnsi="Times New Roman" w:cs="Calibri"/>
          <w:lang w:val="en-US" w:eastAsia="zh-CN"/>
        </w:rPr>
        <w:t>二</w:t>
      </w:r>
      <w:r>
        <w:rPr>
          <w:rFonts w:ascii="Times New Roman" w:hAnsi="Times New Roman" w:cs="Calibri"/>
        </w:rPr>
        <w:t>、本文相关附件</w:t>
      </w:r>
      <w:bookmarkEnd w:id="41"/>
    </w:p>
    <w:p w14:paraId="4BB4D463">
      <w:pPr>
        <w:pStyle w:val="3"/>
        <w:bidi w:val="0"/>
        <w:spacing w:before="50" w:after="50" w:line="240" w:lineRule="auto"/>
        <w:ind w:firstLine="0" w:firstLineChars="0"/>
        <w:rPr>
          <w:rFonts w:ascii="Times New Roman" w:hAnsi="Times New Roman" w:eastAsia="黑体" w:cs="Calibri"/>
          <w:b w:val="0"/>
          <w:sz w:val="21"/>
        </w:rPr>
      </w:pPr>
      <w:bookmarkStart w:id="42" w:name="_Toc24520"/>
      <w:r>
        <w:rPr>
          <w:rFonts w:ascii="Times New Roman" w:hAnsi="Times New Roman" w:eastAsia="黑体" w:cs="Calibri"/>
          <w:b w:val="0"/>
          <w:sz w:val="21"/>
        </w:rPr>
        <w:t>（一）文本验证方案（附件</w:t>
      </w:r>
      <w:r>
        <w:rPr>
          <w:rFonts w:hint="eastAsia" w:ascii="Times New Roman" w:hAnsi="Times New Roman" w:eastAsia="黑体" w:cs="Calibri"/>
          <w:b w:val="0"/>
          <w:sz w:val="21"/>
        </w:rPr>
        <w:t>1</w:t>
      </w:r>
      <w:r>
        <w:rPr>
          <w:rFonts w:ascii="Times New Roman" w:hAnsi="Times New Roman" w:eastAsia="黑体" w:cs="Calibri"/>
          <w:b w:val="0"/>
          <w:sz w:val="21"/>
        </w:rPr>
        <w:t>）</w:t>
      </w:r>
      <w:bookmarkEnd w:id="42"/>
    </w:p>
    <w:p w14:paraId="5F852454">
      <w:pPr>
        <w:pStyle w:val="3"/>
        <w:bidi w:val="0"/>
        <w:spacing w:before="50" w:after="50" w:line="240" w:lineRule="auto"/>
        <w:ind w:firstLine="0" w:firstLineChars="0"/>
        <w:rPr>
          <w:rFonts w:hint="eastAsia" w:ascii="Times New Roman" w:hAnsi="Times New Roman" w:eastAsia="黑体" w:cs="Calibri"/>
          <w:b w:val="0"/>
          <w:sz w:val="21"/>
          <w:lang w:eastAsia="zh-CN"/>
        </w:rPr>
      </w:pPr>
      <w:bookmarkStart w:id="43" w:name="_Toc18426"/>
      <w:r>
        <w:rPr>
          <w:rFonts w:ascii="Times New Roman" w:hAnsi="Times New Roman" w:eastAsia="黑体" w:cs="Calibri"/>
          <w:b w:val="0"/>
          <w:sz w:val="21"/>
        </w:rPr>
        <w:t>（</w:t>
      </w:r>
      <w:r>
        <w:rPr>
          <w:rFonts w:hint="eastAsia" w:ascii="Times New Roman" w:hAnsi="Times New Roman" w:eastAsia="黑体" w:cs="Calibri"/>
          <w:b w:val="0"/>
          <w:sz w:val="21"/>
          <w:lang w:eastAsia="zh-CN"/>
        </w:rPr>
        <w:t>二</w:t>
      </w:r>
      <w:r>
        <w:rPr>
          <w:rFonts w:ascii="Times New Roman" w:hAnsi="Times New Roman" w:eastAsia="黑体" w:cs="Calibri"/>
          <w:b w:val="0"/>
          <w:sz w:val="21"/>
        </w:rPr>
        <w:t>）</w:t>
      </w:r>
      <w:r>
        <w:rPr>
          <w:rFonts w:hint="eastAsia" w:ascii="Times New Roman" w:hAnsi="Times New Roman" w:eastAsia="黑体" w:cs="Calibri"/>
          <w:b w:val="0"/>
          <w:sz w:val="21"/>
        </w:rPr>
        <w:t>实验室间</w:t>
      </w:r>
      <w:r>
        <w:rPr>
          <w:rFonts w:hint="eastAsia" w:ascii="Times New Roman" w:hAnsi="Times New Roman" w:eastAsia="黑体" w:cs="Calibri"/>
          <w:b w:val="0"/>
          <w:sz w:val="21"/>
          <w:lang w:eastAsia="zh-CN"/>
        </w:rPr>
        <w:t>结果</w:t>
      </w:r>
      <w:r>
        <w:rPr>
          <w:rFonts w:ascii="Times New Roman" w:hAnsi="Times New Roman" w:eastAsia="黑体" w:cs="Calibri"/>
          <w:b w:val="0"/>
          <w:sz w:val="21"/>
        </w:rPr>
        <w:t>（附件</w:t>
      </w:r>
      <w:r>
        <w:rPr>
          <w:rFonts w:hint="eastAsia" w:ascii="Times New Roman" w:hAnsi="Times New Roman" w:eastAsia="黑体" w:cs="Calibri"/>
          <w:b w:val="0"/>
          <w:sz w:val="21"/>
          <w:lang w:val="en-US" w:eastAsia="zh-CN"/>
        </w:rPr>
        <w:t>2</w:t>
      </w:r>
      <w:r>
        <w:rPr>
          <w:rFonts w:ascii="Times New Roman" w:hAnsi="Times New Roman" w:eastAsia="黑体" w:cs="Calibri"/>
          <w:b w:val="0"/>
          <w:sz w:val="21"/>
        </w:rPr>
        <w:t>）</w:t>
      </w:r>
      <w:bookmarkEnd w:id="43"/>
    </w:p>
    <w:p w14:paraId="4C9E35FD">
      <w:pPr>
        <w:widowControl/>
        <w:ind w:firstLine="643" w:firstLineChars="200"/>
        <w:rPr>
          <w:rFonts w:hint="default" w:eastAsia="楷体"/>
          <w:b/>
          <w:bCs/>
          <w:sz w:val="32"/>
          <w:lang w:val="en-US" w:eastAsia="zh-CN"/>
        </w:rPr>
      </w:pPr>
    </w:p>
    <w:p w14:paraId="25492C8C">
      <w:pPr>
        <w:widowControl/>
        <w:ind w:firstLine="643" w:firstLineChars="200"/>
        <w:rPr>
          <w:rFonts w:hint="default" w:eastAsia="楷体"/>
          <w:b/>
          <w:bCs/>
          <w:sz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5299F">
    <w:pPr>
      <w:tabs>
        <w:tab w:val="center" w:pos="4153"/>
        <w:tab w:val="right" w:pos="8306"/>
      </w:tabs>
      <w:bidi w:val="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B741F">
                          <w:pPr>
                            <w:pStyle w:val="1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8AB741F">
                    <w:pPr>
                      <w:pStyle w:val="1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B6E2F">
    <w:pPr>
      <w:tabs>
        <w:tab w:val="center" w:pos="4153"/>
        <w:tab w:val="right" w:pos="8306"/>
      </w:tabs>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BBE814">
                          <w:pPr>
                            <w:pStyle w:val="10"/>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2BBE814">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D28DC">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8ECB3A"/>
    <w:multiLevelType w:val="singleLevel"/>
    <w:tmpl w:val="A58ECB3A"/>
    <w:lvl w:ilvl="0" w:tentative="0">
      <w:start w:val="6"/>
      <w:numFmt w:val="chineseCounting"/>
      <w:suff w:val="nothing"/>
      <w:lvlText w:val="%1、"/>
      <w:lvlJc w:val="left"/>
      <w:rPr>
        <w:rFonts w:hint="eastAsia"/>
      </w:rPr>
    </w:lvl>
  </w:abstractNum>
  <w:abstractNum w:abstractNumId="1">
    <w:nsid w:val="CC3FE7CF"/>
    <w:multiLevelType w:val="singleLevel"/>
    <w:tmpl w:val="CC3FE7CF"/>
    <w:lvl w:ilvl="0" w:tentative="0">
      <w:start w:val="6"/>
      <w:numFmt w:val="decimal"/>
      <w:suff w:val="space"/>
      <w:lvlText w:val="%1."/>
      <w:lvlJc w:val="left"/>
    </w:lvl>
  </w:abstractNum>
  <w:abstractNum w:abstractNumId="2">
    <w:nsid w:val="EE5EFEE4"/>
    <w:multiLevelType w:val="singleLevel"/>
    <w:tmpl w:val="EE5EFEE4"/>
    <w:lvl w:ilvl="0" w:tentative="0">
      <w:start w:val="2"/>
      <w:numFmt w:val="decimal"/>
      <w:suff w:val="space"/>
      <w:lvlText w:val="%1."/>
      <w:lvlJc w:val="left"/>
    </w:lvl>
  </w:abstractNum>
  <w:abstractNum w:abstractNumId="3">
    <w:nsid w:val="3C5B4DD4"/>
    <w:multiLevelType w:val="singleLevel"/>
    <w:tmpl w:val="3C5B4DD4"/>
    <w:lvl w:ilvl="0" w:tentative="0">
      <w:start w:val="1"/>
      <w:numFmt w:val="decimal"/>
      <w:suff w:val="space"/>
      <w:lvlText w:val="%1."/>
      <w:lvlJc w:val="left"/>
    </w:lvl>
  </w:abstractNum>
  <w:abstractNum w:abstractNumId="4">
    <w:nsid w:val="5809A20B"/>
    <w:multiLevelType w:val="singleLevel"/>
    <w:tmpl w:val="5809A20B"/>
    <w:lvl w:ilvl="0" w:tentative="0">
      <w:start w:val="2"/>
      <w:numFmt w:val="decimal"/>
      <w:suff w:val="space"/>
      <w:lvlText w:val="%1."/>
      <w:lvlJc w:val="left"/>
    </w:lvl>
  </w:abstractNum>
  <w:abstractNum w:abstractNumId="5">
    <w:nsid w:val="6F3F1DC3"/>
    <w:multiLevelType w:val="singleLevel"/>
    <w:tmpl w:val="6F3F1DC3"/>
    <w:lvl w:ilvl="0" w:tentative="0">
      <w:start w:val="1"/>
      <w:numFmt w:val="decimal"/>
      <w:suff w:val="space"/>
      <w:lvlText w:val="%1."/>
      <w:lvlJc w:val="left"/>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yZTllMzViMzAzMDUzMjZkNzMzMTlmY2ZhYWZjOTQifQ=="/>
  </w:docVars>
  <w:rsids>
    <w:rsidRoot w:val="00172A27"/>
    <w:rsid w:val="000148FD"/>
    <w:rsid w:val="000603B2"/>
    <w:rsid w:val="00172A27"/>
    <w:rsid w:val="004A71B7"/>
    <w:rsid w:val="004B153F"/>
    <w:rsid w:val="00570517"/>
    <w:rsid w:val="00727415"/>
    <w:rsid w:val="00A866BE"/>
    <w:rsid w:val="00A97EE1"/>
    <w:rsid w:val="00BB0AEE"/>
    <w:rsid w:val="00C3599F"/>
    <w:rsid w:val="00D37549"/>
    <w:rsid w:val="00E21472"/>
    <w:rsid w:val="00EF1C00"/>
    <w:rsid w:val="00F405C8"/>
    <w:rsid w:val="00F633D8"/>
    <w:rsid w:val="06AB3F6E"/>
    <w:rsid w:val="06FF7D51"/>
    <w:rsid w:val="0A3733AB"/>
    <w:rsid w:val="0EFA6B92"/>
    <w:rsid w:val="141F5589"/>
    <w:rsid w:val="171F4C56"/>
    <w:rsid w:val="19A772D3"/>
    <w:rsid w:val="1D574D7A"/>
    <w:rsid w:val="1EF83048"/>
    <w:rsid w:val="20335562"/>
    <w:rsid w:val="218238EC"/>
    <w:rsid w:val="23FC2C09"/>
    <w:rsid w:val="26174F03"/>
    <w:rsid w:val="2C0F61A5"/>
    <w:rsid w:val="2CFD2F8E"/>
    <w:rsid w:val="2E3472AB"/>
    <w:rsid w:val="2F9A54C0"/>
    <w:rsid w:val="311E57A3"/>
    <w:rsid w:val="323D187C"/>
    <w:rsid w:val="32D2247F"/>
    <w:rsid w:val="360F171E"/>
    <w:rsid w:val="37987A3B"/>
    <w:rsid w:val="39641F63"/>
    <w:rsid w:val="39825EE7"/>
    <w:rsid w:val="3A36340C"/>
    <w:rsid w:val="3AFD41E4"/>
    <w:rsid w:val="3C30766A"/>
    <w:rsid w:val="3C66481A"/>
    <w:rsid w:val="3DED0719"/>
    <w:rsid w:val="40946E3A"/>
    <w:rsid w:val="44630A93"/>
    <w:rsid w:val="448D6D0F"/>
    <w:rsid w:val="4D76167E"/>
    <w:rsid w:val="4E562CD4"/>
    <w:rsid w:val="4EFE0082"/>
    <w:rsid w:val="4F5B1024"/>
    <w:rsid w:val="502838B2"/>
    <w:rsid w:val="50D26188"/>
    <w:rsid w:val="523124D9"/>
    <w:rsid w:val="551556A5"/>
    <w:rsid w:val="5CD735FF"/>
    <w:rsid w:val="5F165406"/>
    <w:rsid w:val="61E23E15"/>
    <w:rsid w:val="62A328E3"/>
    <w:rsid w:val="6380341F"/>
    <w:rsid w:val="6824763D"/>
    <w:rsid w:val="6901351D"/>
    <w:rsid w:val="69F81722"/>
    <w:rsid w:val="6B657F57"/>
    <w:rsid w:val="6BC9668E"/>
    <w:rsid w:val="6CA619BE"/>
    <w:rsid w:val="6E01443C"/>
    <w:rsid w:val="6EF8572B"/>
    <w:rsid w:val="706569B3"/>
    <w:rsid w:val="76405FC6"/>
    <w:rsid w:val="78AB404D"/>
    <w:rsid w:val="7B446F42"/>
    <w:rsid w:val="7B8F2230"/>
    <w:rsid w:val="7D5B4F4F"/>
    <w:rsid w:val="7ECF26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name="toc 1"/>
    <w:lsdException w:qFormat="1"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50" w:beforeLines="50" w:after="50" w:afterLines="50" w:line="240" w:lineRule="auto"/>
      <w:ind w:firstLine="0" w:firstLineChars="0"/>
      <w:jc w:val="left"/>
      <w:outlineLvl w:val="0"/>
    </w:pPr>
    <w:rPr>
      <w:rFonts w:eastAsia="黑体"/>
      <w:kern w:val="44"/>
      <w:sz w:val="24"/>
      <w:szCs w:val="48"/>
    </w:rPr>
  </w:style>
  <w:style w:type="paragraph" w:styleId="3">
    <w:name w:val="heading 2"/>
    <w:basedOn w:val="1"/>
    <w:next w:val="1"/>
    <w:autoRedefine/>
    <w:qFormat/>
    <w:uiPriority w:val="0"/>
    <w:pPr>
      <w:keepNext/>
      <w:keepLines/>
      <w:spacing w:beforeLines="50" w:afterLines="50" w:line="415" w:lineRule="auto"/>
      <w:outlineLvl w:val="1"/>
    </w:pPr>
    <w:rPr>
      <w:b/>
      <w:bCs/>
      <w:sz w:val="24"/>
      <w:szCs w:val="32"/>
    </w:rPr>
  </w:style>
  <w:style w:type="paragraph" w:styleId="4">
    <w:name w:val="heading 3"/>
    <w:basedOn w:val="1"/>
    <w:next w:val="1"/>
    <w:autoRedefine/>
    <w:qFormat/>
    <w:uiPriority w:val="0"/>
    <w:pPr>
      <w:keepNext/>
      <w:keepLines/>
      <w:spacing w:line="415" w:lineRule="auto"/>
      <w:outlineLvl w:val="2"/>
    </w:pPr>
    <w:rPr>
      <w:b/>
      <w:bCs/>
      <w:sz w:val="24"/>
      <w:szCs w:val="32"/>
    </w:rPr>
  </w:style>
  <w:style w:type="paragraph" w:styleId="5">
    <w:name w:val="heading 4"/>
    <w:basedOn w:val="1"/>
    <w:next w:val="1"/>
    <w:autoRedefine/>
    <w:qFormat/>
    <w:uiPriority w:val="0"/>
    <w:pPr>
      <w:keepNext/>
      <w:keepLines/>
      <w:spacing w:line="377" w:lineRule="auto"/>
      <w:outlineLvl w:val="3"/>
    </w:pPr>
    <w:rPr>
      <w:b/>
      <w:bCs/>
      <w:szCs w:val="28"/>
    </w:rPr>
  </w:style>
  <w:style w:type="paragraph" w:styleId="6">
    <w:name w:val="heading 5"/>
    <w:basedOn w:val="1"/>
    <w:next w:val="1"/>
    <w:autoRedefine/>
    <w:qFormat/>
    <w:uiPriority w:val="0"/>
    <w:pPr>
      <w:keepNext/>
      <w:keepLines/>
      <w:spacing w:line="377" w:lineRule="auto"/>
      <w:outlineLvl w:val="4"/>
    </w:pPr>
    <w:rPr>
      <w:b/>
      <w:bCs/>
      <w:szCs w:val="28"/>
    </w:rPr>
  </w:style>
  <w:style w:type="paragraph" w:styleId="7">
    <w:name w:val="heading 7"/>
    <w:basedOn w:val="1"/>
    <w:next w:val="1"/>
    <w:unhideWhenUsed/>
    <w:qFormat/>
    <w:uiPriority w:val="0"/>
    <w:pPr>
      <w:keepNext/>
      <w:keepLines/>
      <w:spacing w:before="240" w:beforeLines="0" w:beforeAutospacing="0" w:after="64" w:afterLines="0" w:afterAutospacing="0" w:line="317" w:lineRule="auto"/>
      <w:outlineLvl w:val="6"/>
    </w:pPr>
    <w:rPr>
      <w:rFonts w:ascii="Times New Roman" w:hAnsi="Times New Roman"/>
      <w:b/>
      <w:sz w:val="21"/>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caption"/>
    <w:basedOn w:val="1"/>
    <w:next w:val="1"/>
    <w:autoRedefine/>
    <w:qFormat/>
    <w:uiPriority w:val="0"/>
    <w:rPr>
      <w:rFonts w:ascii="Cambria Math" w:hAnsi="Cambria Math" w:eastAsia="Cambria Math"/>
      <w:sz w:val="20"/>
    </w:rPr>
  </w:style>
  <w:style w:type="paragraph" w:styleId="9">
    <w:name w:val="Balloon Text"/>
    <w:basedOn w:val="1"/>
    <w:link w:val="30"/>
    <w:qFormat/>
    <w:uiPriority w:val="0"/>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0"/>
  </w:style>
  <w:style w:type="paragraph" w:styleId="13">
    <w:name w:val="toc 2"/>
    <w:basedOn w:val="1"/>
    <w:next w:val="1"/>
    <w:semiHidden/>
    <w:unhideWhenUsed/>
    <w:qFormat/>
    <w:uiPriority w:val="0"/>
    <w:pPr>
      <w:ind w:left="420" w:leftChars="200"/>
    </w:pPr>
  </w:style>
  <w:style w:type="paragraph" w:styleId="14">
    <w:name w:val="HTML Preformatted"/>
    <w:basedOn w:val="1"/>
    <w:autoRedefine/>
    <w:qFormat/>
    <w:uiPriority w:val="0"/>
    <w:rPr>
      <w:rFonts w:ascii="Courier New" w:hAnsi="Courier New" w:cs="Courier New"/>
      <w:sz w:val="20"/>
      <w:szCs w:val="20"/>
    </w:rPr>
  </w:style>
  <w:style w:type="paragraph" w:styleId="1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7">
    <w:name w:val="Table Grid"/>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9">
    <w:name w:val="page number"/>
    <w:autoRedefine/>
    <w:qFormat/>
    <w:uiPriority w:val="0"/>
    <w:rPr>
      <w:rFonts w:ascii="Times New Roman" w:hAnsi="Times New Roman" w:eastAsia="宋体"/>
      <w:sz w:val="18"/>
    </w:rPr>
  </w:style>
  <w:style w:type="character" w:styleId="20">
    <w:name w:val="Hyperlink"/>
    <w:basedOn w:val="18"/>
    <w:qFormat/>
    <w:uiPriority w:val="0"/>
    <w:rPr>
      <w:color w:val="0000FF"/>
      <w:u w:val="single"/>
    </w:rPr>
  </w:style>
  <w:style w:type="character" w:styleId="21">
    <w:name w:val="annotation reference"/>
    <w:autoRedefine/>
    <w:qFormat/>
    <w:uiPriority w:val="0"/>
    <w:rPr>
      <w:sz w:val="21"/>
      <w:szCs w:val="21"/>
    </w:rPr>
  </w:style>
  <w:style w:type="paragraph" w:customStyle="1" w:styleId="22">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character" w:customStyle="1" w:styleId="23">
    <w:name w:val="font11"/>
    <w:basedOn w:val="18"/>
    <w:autoRedefine/>
    <w:qFormat/>
    <w:uiPriority w:val="0"/>
    <w:rPr>
      <w:rFonts w:hint="default" w:ascii="Times New Roman" w:hAnsi="Times New Roman" w:cs="Times New Roman"/>
      <w:b/>
      <w:bCs/>
      <w:color w:val="000000"/>
      <w:sz w:val="18"/>
      <w:szCs w:val="18"/>
      <w:u w:val="none"/>
    </w:rPr>
  </w:style>
  <w:style w:type="character" w:customStyle="1" w:styleId="24">
    <w:name w:val="font21"/>
    <w:basedOn w:val="18"/>
    <w:autoRedefine/>
    <w:qFormat/>
    <w:uiPriority w:val="0"/>
    <w:rPr>
      <w:rFonts w:hint="eastAsia" w:ascii="宋体" w:hAnsi="宋体" w:eastAsia="宋体" w:cs="宋体"/>
      <w:b/>
      <w:bCs/>
      <w:color w:val="000000"/>
      <w:sz w:val="18"/>
      <w:szCs w:val="18"/>
      <w:u w:val="none"/>
    </w:rPr>
  </w:style>
  <w:style w:type="character" w:customStyle="1" w:styleId="25">
    <w:name w:val="font31"/>
    <w:basedOn w:val="18"/>
    <w:autoRedefine/>
    <w:qFormat/>
    <w:uiPriority w:val="0"/>
    <w:rPr>
      <w:rFonts w:hint="default" w:ascii="Times New Roman" w:hAnsi="Times New Roman" w:cs="Times New Roman"/>
      <w:b/>
      <w:bCs/>
      <w:i/>
      <w:iCs/>
      <w:color w:val="000000"/>
      <w:sz w:val="18"/>
      <w:szCs w:val="18"/>
      <w:u w:val="none"/>
    </w:rPr>
  </w:style>
  <w:style w:type="character" w:customStyle="1" w:styleId="26">
    <w:name w:val="font51"/>
    <w:basedOn w:val="18"/>
    <w:autoRedefine/>
    <w:qFormat/>
    <w:uiPriority w:val="0"/>
    <w:rPr>
      <w:rFonts w:hint="default" w:ascii="Times New Roman" w:hAnsi="Times New Roman" w:cs="Times New Roman"/>
      <w:b/>
      <w:bCs/>
      <w:color w:val="000000"/>
      <w:sz w:val="18"/>
      <w:szCs w:val="18"/>
      <w:u w:val="none"/>
      <w:vertAlign w:val="superscript"/>
    </w:rPr>
  </w:style>
  <w:style w:type="paragraph" w:customStyle="1" w:styleId="27">
    <w:name w:val="标准书脚_奇数页"/>
    <w:autoRedefine/>
    <w:qFormat/>
    <w:uiPriority w:val="0"/>
    <w:pPr>
      <w:spacing w:before="120"/>
      <w:jc w:val="right"/>
    </w:pPr>
    <w:rPr>
      <w:rFonts w:ascii="Calibri" w:hAnsi="Calibri" w:eastAsia="宋体" w:cs="Times New Roman"/>
      <w:sz w:val="18"/>
      <w:lang w:val="en-US" w:eastAsia="zh-CN" w:bidi="ar-SA"/>
    </w:rPr>
  </w:style>
  <w:style w:type="table" w:customStyle="1" w:styleId="28">
    <w:name w:val="网格型7"/>
    <w:basedOn w:val="16"/>
    <w:autoRedefine/>
    <w:qFormat/>
    <w:uiPriority w:val="0"/>
    <w:pPr>
      <w:widowControl w:val="0"/>
      <w:jc w:val="both"/>
    </w:pPr>
    <w:rPr>
      <w:rFonts w:ascii="Calibri" w:hAnsi="Calibri" w:cs="黑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
    <w:name w:val="页眉 Char"/>
    <w:basedOn w:val="18"/>
    <w:link w:val="11"/>
    <w:qFormat/>
    <w:uiPriority w:val="0"/>
    <w:rPr>
      <w:kern w:val="2"/>
      <w:sz w:val="18"/>
      <w:szCs w:val="18"/>
    </w:rPr>
  </w:style>
  <w:style w:type="character" w:customStyle="1" w:styleId="30">
    <w:name w:val="批注框文本 Char"/>
    <w:basedOn w:val="18"/>
    <w:link w:val="9"/>
    <w:qFormat/>
    <w:uiPriority w:val="0"/>
    <w:rPr>
      <w:kern w:val="2"/>
      <w:sz w:val="18"/>
      <w:szCs w:val="18"/>
    </w:rPr>
  </w:style>
  <w:style w:type="character" w:customStyle="1" w:styleId="31">
    <w:name w:val="font41"/>
    <w:basedOn w:val="18"/>
    <w:qFormat/>
    <w:uiPriority w:val="0"/>
    <w:rPr>
      <w:rFonts w:hint="eastAsia" w:ascii="宋体" w:hAnsi="宋体" w:eastAsia="宋体" w:cs="宋体"/>
      <w:color w:val="000000"/>
      <w:sz w:val="24"/>
      <w:szCs w:val="24"/>
      <w:u w:val="none"/>
      <w:vertAlign w:val="superscript"/>
    </w:rPr>
  </w:style>
  <w:style w:type="paragraph" w:customStyle="1" w:styleId="32">
    <w:name w:val="正文1"/>
    <w:basedOn w:val="1"/>
    <w:next w:val="1"/>
    <w:qFormat/>
    <w:uiPriority w:val="0"/>
    <w:pPr>
      <w:ind w:firstLine="560"/>
    </w:pPr>
    <w:rPr>
      <w:rFonts w:ascii="宋体" w:hAnsi="宋体"/>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0.wmf"/><Relationship Id="rId98" Type="http://schemas.openxmlformats.org/officeDocument/2006/relationships/image" Target="media/image69.wmf"/><Relationship Id="rId97" Type="http://schemas.openxmlformats.org/officeDocument/2006/relationships/oleObject" Target="embeddings/oleObject23.bin"/><Relationship Id="rId96" Type="http://schemas.openxmlformats.org/officeDocument/2006/relationships/image" Target="media/image68.wmf"/><Relationship Id="rId95" Type="http://schemas.openxmlformats.org/officeDocument/2006/relationships/oleObject" Target="embeddings/oleObject22.bin"/><Relationship Id="rId94" Type="http://schemas.openxmlformats.org/officeDocument/2006/relationships/image" Target="media/image67.wmf"/><Relationship Id="rId93" Type="http://schemas.openxmlformats.org/officeDocument/2006/relationships/oleObject" Target="embeddings/oleObject21.bin"/><Relationship Id="rId92" Type="http://schemas.openxmlformats.org/officeDocument/2006/relationships/image" Target="media/image66.wmf"/><Relationship Id="rId91" Type="http://schemas.openxmlformats.org/officeDocument/2006/relationships/image" Target="media/image65.wmf"/><Relationship Id="rId90" Type="http://schemas.openxmlformats.org/officeDocument/2006/relationships/oleObject" Target="embeddings/oleObject20.bin"/><Relationship Id="rId9" Type="http://schemas.openxmlformats.org/officeDocument/2006/relationships/image" Target="media/image3.png"/><Relationship Id="rId89" Type="http://schemas.openxmlformats.org/officeDocument/2006/relationships/image" Target="media/image64.wmf"/><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wmf"/><Relationship Id="rId85" Type="http://schemas.openxmlformats.org/officeDocument/2006/relationships/image" Target="media/image60.wmf"/><Relationship Id="rId84" Type="http://schemas.openxmlformats.org/officeDocument/2006/relationships/oleObject" Target="embeddings/oleObject19.bin"/><Relationship Id="rId83" Type="http://schemas.openxmlformats.org/officeDocument/2006/relationships/image" Target="media/image59.wmf"/><Relationship Id="rId82" Type="http://schemas.openxmlformats.org/officeDocument/2006/relationships/image" Target="media/image58.wmf"/><Relationship Id="rId81" Type="http://schemas.openxmlformats.org/officeDocument/2006/relationships/oleObject" Target="embeddings/oleObject18.bin"/><Relationship Id="rId80" Type="http://schemas.openxmlformats.org/officeDocument/2006/relationships/image" Target="media/image57.png"/><Relationship Id="rId8" Type="http://schemas.openxmlformats.org/officeDocument/2006/relationships/image" Target="media/image2.jpeg"/><Relationship Id="rId79" Type="http://schemas.openxmlformats.org/officeDocument/2006/relationships/image" Target="media/image56.wmf"/><Relationship Id="rId78" Type="http://schemas.openxmlformats.org/officeDocument/2006/relationships/image" Target="media/image55.wmf"/><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wmf"/><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wmf"/><Relationship Id="rId71" Type="http://schemas.openxmlformats.org/officeDocument/2006/relationships/image" Target="media/image48.wmf"/><Relationship Id="rId70" Type="http://schemas.openxmlformats.org/officeDocument/2006/relationships/image" Target="media/image47.wmf"/><Relationship Id="rId7" Type="http://schemas.openxmlformats.org/officeDocument/2006/relationships/image" Target="media/image1.jpeg"/><Relationship Id="rId69" Type="http://schemas.openxmlformats.org/officeDocument/2006/relationships/oleObject" Target="embeddings/oleObject17.bin"/><Relationship Id="rId68" Type="http://schemas.openxmlformats.org/officeDocument/2006/relationships/image" Target="media/image46.jpeg"/><Relationship Id="rId67" Type="http://schemas.openxmlformats.org/officeDocument/2006/relationships/image" Target="media/image45.jpeg"/><Relationship Id="rId66" Type="http://schemas.openxmlformats.org/officeDocument/2006/relationships/image" Target="media/image44.jpeg"/><Relationship Id="rId65" Type="http://schemas.openxmlformats.org/officeDocument/2006/relationships/image" Target="media/image43.png"/><Relationship Id="rId64" Type="http://schemas.openxmlformats.org/officeDocument/2006/relationships/image" Target="media/image42.jpeg"/><Relationship Id="rId63" Type="http://schemas.openxmlformats.org/officeDocument/2006/relationships/image" Target="media/image41.jpeg"/><Relationship Id="rId62" Type="http://schemas.openxmlformats.org/officeDocument/2006/relationships/image" Target="media/image40.jpeg"/><Relationship Id="rId61" Type="http://schemas.openxmlformats.org/officeDocument/2006/relationships/image" Target="media/image39.emf"/><Relationship Id="rId60" Type="http://schemas.openxmlformats.org/officeDocument/2006/relationships/image" Target="media/image38.wmf"/><Relationship Id="rId6" Type="http://schemas.openxmlformats.org/officeDocument/2006/relationships/theme" Target="theme/theme1.xml"/><Relationship Id="rId59" Type="http://schemas.openxmlformats.org/officeDocument/2006/relationships/oleObject" Target="embeddings/oleObject16.bin"/><Relationship Id="rId58" Type="http://schemas.openxmlformats.org/officeDocument/2006/relationships/image" Target="media/image37.png"/><Relationship Id="rId57" Type="http://schemas.openxmlformats.org/officeDocument/2006/relationships/image" Target="media/image36.wmf"/><Relationship Id="rId56" Type="http://schemas.openxmlformats.org/officeDocument/2006/relationships/oleObject" Target="embeddings/oleObject15.bin"/><Relationship Id="rId55" Type="http://schemas.openxmlformats.org/officeDocument/2006/relationships/image" Target="media/image35.wmf"/><Relationship Id="rId54" Type="http://schemas.openxmlformats.org/officeDocument/2006/relationships/oleObject" Target="embeddings/oleObject14.bin"/><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wmf"/><Relationship Id="rId50" Type="http://schemas.openxmlformats.org/officeDocument/2006/relationships/oleObject" Target="embeddings/oleObject13.bin"/><Relationship Id="rId5" Type="http://schemas.openxmlformats.org/officeDocument/2006/relationships/footer" Target="foot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wmf"/><Relationship Id="rId45" Type="http://schemas.openxmlformats.org/officeDocument/2006/relationships/image" Target="media/image27.wmf"/><Relationship Id="rId44" Type="http://schemas.openxmlformats.org/officeDocument/2006/relationships/oleObject" Target="embeddings/oleObject12.bin"/><Relationship Id="rId43" Type="http://schemas.openxmlformats.org/officeDocument/2006/relationships/image" Target="media/image26.png"/><Relationship Id="rId42" Type="http://schemas.openxmlformats.org/officeDocument/2006/relationships/image" Target="media/image25.wmf"/><Relationship Id="rId41" Type="http://schemas.openxmlformats.org/officeDocument/2006/relationships/oleObject" Target="embeddings/oleObject11.bin"/><Relationship Id="rId40" Type="http://schemas.openxmlformats.org/officeDocument/2006/relationships/image" Target="media/image24.png"/><Relationship Id="rId4" Type="http://schemas.openxmlformats.org/officeDocument/2006/relationships/header" Target="head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wmf"/><Relationship Id="rId36" Type="http://schemas.openxmlformats.org/officeDocument/2006/relationships/oleObject" Target="embeddings/oleObject10.bin"/><Relationship Id="rId35" Type="http://schemas.openxmlformats.org/officeDocument/2006/relationships/image" Target="media/image20.wmf"/><Relationship Id="rId34" Type="http://schemas.openxmlformats.org/officeDocument/2006/relationships/oleObject" Target="embeddings/oleObject9.bin"/><Relationship Id="rId33" Type="http://schemas.openxmlformats.org/officeDocument/2006/relationships/image" Target="media/image19.wmf"/><Relationship Id="rId32" Type="http://schemas.openxmlformats.org/officeDocument/2006/relationships/oleObject" Target="embeddings/oleObject8.bin"/><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3" Type="http://schemas.openxmlformats.org/officeDocument/2006/relationships/fontTable" Target="fontTable.xml"/><Relationship Id="rId252" Type="http://schemas.openxmlformats.org/officeDocument/2006/relationships/numbering" Target="numbering.xml"/><Relationship Id="rId251" Type="http://schemas.openxmlformats.org/officeDocument/2006/relationships/customXml" Target="../customXml/item1.xml"/><Relationship Id="rId250" Type="http://schemas.openxmlformats.org/officeDocument/2006/relationships/image" Target="media/image172.png"/><Relationship Id="rId25" Type="http://schemas.openxmlformats.org/officeDocument/2006/relationships/image" Target="media/image15.wmf"/><Relationship Id="rId249" Type="http://schemas.openxmlformats.org/officeDocument/2006/relationships/image" Target="media/image171.wmf"/><Relationship Id="rId248" Type="http://schemas.openxmlformats.org/officeDocument/2006/relationships/oleObject" Target="embeddings/oleObject71.bin"/><Relationship Id="rId247" Type="http://schemas.openxmlformats.org/officeDocument/2006/relationships/chart" Target="charts/chart1.xml"/><Relationship Id="rId246" Type="http://schemas.openxmlformats.org/officeDocument/2006/relationships/image" Target="media/image170.png"/><Relationship Id="rId245" Type="http://schemas.openxmlformats.org/officeDocument/2006/relationships/image" Target="media/image169.png"/><Relationship Id="rId244" Type="http://schemas.openxmlformats.org/officeDocument/2006/relationships/image" Target="media/image168.wmf"/><Relationship Id="rId243" Type="http://schemas.openxmlformats.org/officeDocument/2006/relationships/image" Target="media/image167.wmf"/><Relationship Id="rId242" Type="http://schemas.openxmlformats.org/officeDocument/2006/relationships/oleObject" Target="embeddings/oleObject70.bin"/><Relationship Id="rId241" Type="http://schemas.openxmlformats.org/officeDocument/2006/relationships/image" Target="media/image166.wmf"/><Relationship Id="rId240" Type="http://schemas.openxmlformats.org/officeDocument/2006/relationships/image" Target="media/image165.wmf"/><Relationship Id="rId24" Type="http://schemas.openxmlformats.org/officeDocument/2006/relationships/oleObject" Target="embeddings/oleObject4.bin"/><Relationship Id="rId239" Type="http://schemas.openxmlformats.org/officeDocument/2006/relationships/image" Target="media/image164.png"/><Relationship Id="rId238" Type="http://schemas.openxmlformats.org/officeDocument/2006/relationships/image" Target="media/image163.wmf"/><Relationship Id="rId237" Type="http://schemas.openxmlformats.org/officeDocument/2006/relationships/oleObject" Target="embeddings/oleObject69.bin"/><Relationship Id="rId236" Type="http://schemas.openxmlformats.org/officeDocument/2006/relationships/image" Target="media/image162.png"/><Relationship Id="rId235" Type="http://schemas.openxmlformats.org/officeDocument/2006/relationships/image" Target="media/image161.png"/><Relationship Id="rId234" Type="http://schemas.openxmlformats.org/officeDocument/2006/relationships/image" Target="media/image160.png"/><Relationship Id="rId233" Type="http://schemas.openxmlformats.org/officeDocument/2006/relationships/image" Target="media/image159.png"/><Relationship Id="rId232" Type="http://schemas.openxmlformats.org/officeDocument/2006/relationships/image" Target="media/image158.png"/><Relationship Id="rId231" Type="http://schemas.openxmlformats.org/officeDocument/2006/relationships/image" Target="media/image157.png"/><Relationship Id="rId230" Type="http://schemas.openxmlformats.org/officeDocument/2006/relationships/image" Target="media/image156.png"/><Relationship Id="rId23" Type="http://schemas.openxmlformats.org/officeDocument/2006/relationships/image" Target="media/image14.wmf"/><Relationship Id="rId229" Type="http://schemas.openxmlformats.org/officeDocument/2006/relationships/image" Target="media/image155.wmf"/><Relationship Id="rId228" Type="http://schemas.openxmlformats.org/officeDocument/2006/relationships/image" Target="media/image154.wmf"/><Relationship Id="rId227" Type="http://schemas.openxmlformats.org/officeDocument/2006/relationships/image" Target="media/image153.wmf"/><Relationship Id="rId226" Type="http://schemas.openxmlformats.org/officeDocument/2006/relationships/image" Target="media/image152.wmf"/><Relationship Id="rId225" Type="http://schemas.openxmlformats.org/officeDocument/2006/relationships/image" Target="media/image151.png"/><Relationship Id="rId224" Type="http://schemas.openxmlformats.org/officeDocument/2006/relationships/image" Target="media/image150.wmf"/><Relationship Id="rId223" Type="http://schemas.openxmlformats.org/officeDocument/2006/relationships/image" Target="media/image149.wmf"/><Relationship Id="rId222" Type="http://schemas.openxmlformats.org/officeDocument/2006/relationships/image" Target="media/image148.wmf"/><Relationship Id="rId221" Type="http://schemas.openxmlformats.org/officeDocument/2006/relationships/oleObject" Target="embeddings/oleObject68.bin"/><Relationship Id="rId220" Type="http://schemas.openxmlformats.org/officeDocument/2006/relationships/image" Target="media/image147.wmf"/><Relationship Id="rId22" Type="http://schemas.openxmlformats.org/officeDocument/2006/relationships/oleObject" Target="embeddings/oleObject3.bin"/><Relationship Id="rId219" Type="http://schemas.openxmlformats.org/officeDocument/2006/relationships/image" Target="media/image146.wmf"/><Relationship Id="rId218" Type="http://schemas.openxmlformats.org/officeDocument/2006/relationships/image" Target="media/image145.wmf"/><Relationship Id="rId217" Type="http://schemas.openxmlformats.org/officeDocument/2006/relationships/image" Target="media/image144.wmf"/><Relationship Id="rId216" Type="http://schemas.openxmlformats.org/officeDocument/2006/relationships/image" Target="media/image143.wmf"/><Relationship Id="rId215" Type="http://schemas.openxmlformats.org/officeDocument/2006/relationships/oleObject" Target="embeddings/oleObject67.bin"/><Relationship Id="rId214" Type="http://schemas.openxmlformats.org/officeDocument/2006/relationships/image" Target="media/image142.wmf"/><Relationship Id="rId213" Type="http://schemas.openxmlformats.org/officeDocument/2006/relationships/oleObject" Target="embeddings/oleObject66.bin"/><Relationship Id="rId212" Type="http://schemas.openxmlformats.org/officeDocument/2006/relationships/image" Target="media/image141.wmf"/><Relationship Id="rId211" Type="http://schemas.openxmlformats.org/officeDocument/2006/relationships/oleObject" Target="embeddings/oleObject65.bin"/><Relationship Id="rId210" Type="http://schemas.openxmlformats.org/officeDocument/2006/relationships/image" Target="media/image140.png"/><Relationship Id="rId21" Type="http://schemas.openxmlformats.org/officeDocument/2006/relationships/image" Target="media/image13.wmf"/><Relationship Id="rId209" Type="http://schemas.openxmlformats.org/officeDocument/2006/relationships/image" Target="media/image139.wmf"/><Relationship Id="rId208" Type="http://schemas.openxmlformats.org/officeDocument/2006/relationships/oleObject" Target="embeddings/oleObject64.bin"/><Relationship Id="rId207" Type="http://schemas.openxmlformats.org/officeDocument/2006/relationships/image" Target="media/image138.png"/><Relationship Id="rId206" Type="http://schemas.openxmlformats.org/officeDocument/2006/relationships/image" Target="media/image137.wmf"/><Relationship Id="rId205" Type="http://schemas.openxmlformats.org/officeDocument/2006/relationships/oleObject" Target="embeddings/oleObject63.bin"/><Relationship Id="rId204" Type="http://schemas.openxmlformats.org/officeDocument/2006/relationships/image" Target="media/image136.png"/><Relationship Id="rId203" Type="http://schemas.openxmlformats.org/officeDocument/2006/relationships/oleObject" Target="embeddings/oleObject62.bin"/><Relationship Id="rId202" Type="http://schemas.openxmlformats.org/officeDocument/2006/relationships/image" Target="media/image135.wmf"/><Relationship Id="rId201" Type="http://schemas.openxmlformats.org/officeDocument/2006/relationships/oleObject" Target="embeddings/oleObject61.bin"/><Relationship Id="rId200" Type="http://schemas.openxmlformats.org/officeDocument/2006/relationships/image" Target="media/image134.png"/><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image" Target="media/image133.wmf"/><Relationship Id="rId198" Type="http://schemas.openxmlformats.org/officeDocument/2006/relationships/oleObject" Target="embeddings/oleObject60.bin"/><Relationship Id="rId197" Type="http://schemas.openxmlformats.org/officeDocument/2006/relationships/image" Target="media/image132.wmf"/><Relationship Id="rId196" Type="http://schemas.openxmlformats.org/officeDocument/2006/relationships/oleObject" Target="embeddings/oleObject59.bin"/><Relationship Id="rId195" Type="http://schemas.openxmlformats.org/officeDocument/2006/relationships/image" Target="media/image131.png"/><Relationship Id="rId194" Type="http://schemas.openxmlformats.org/officeDocument/2006/relationships/image" Target="media/image130.wmf"/><Relationship Id="rId193" Type="http://schemas.openxmlformats.org/officeDocument/2006/relationships/image" Target="media/image129.png"/><Relationship Id="rId192" Type="http://schemas.openxmlformats.org/officeDocument/2006/relationships/image" Target="media/image128.wmf"/><Relationship Id="rId191" Type="http://schemas.openxmlformats.org/officeDocument/2006/relationships/image" Target="media/image127.png"/><Relationship Id="rId190" Type="http://schemas.openxmlformats.org/officeDocument/2006/relationships/image" Target="media/image126.png"/><Relationship Id="rId19" Type="http://schemas.openxmlformats.org/officeDocument/2006/relationships/image" Target="media/image12.wmf"/><Relationship Id="rId189" Type="http://schemas.openxmlformats.org/officeDocument/2006/relationships/image" Target="media/image125.png"/><Relationship Id="rId188" Type="http://schemas.openxmlformats.org/officeDocument/2006/relationships/image" Target="media/image124.png"/><Relationship Id="rId187" Type="http://schemas.openxmlformats.org/officeDocument/2006/relationships/image" Target="media/image123.wmf"/><Relationship Id="rId186" Type="http://schemas.openxmlformats.org/officeDocument/2006/relationships/image" Target="media/image122.png"/><Relationship Id="rId185" Type="http://schemas.openxmlformats.org/officeDocument/2006/relationships/image" Target="media/image121.wmf"/><Relationship Id="rId184" Type="http://schemas.openxmlformats.org/officeDocument/2006/relationships/image" Target="media/image120.png"/><Relationship Id="rId183" Type="http://schemas.openxmlformats.org/officeDocument/2006/relationships/image" Target="media/image119.wmf"/><Relationship Id="rId182" Type="http://schemas.openxmlformats.org/officeDocument/2006/relationships/image" Target="media/image118.png"/><Relationship Id="rId181" Type="http://schemas.openxmlformats.org/officeDocument/2006/relationships/image" Target="media/image117.wmf"/><Relationship Id="rId180" Type="http://schemas.openxmlformats.org/officeDocument/2006/relationships/image" Target="media/image116.wmf"/><Relationship Id="rId18" Type="http://schemas.openxmlformats.org/officeDocument/2006/relationships/oleObject" Target="embeddings/oleObject1.bin"/><Relationship Id="rId179" Type="http://schemas.openxmlformats.org/officeDocument/2006/relationships/image" Target="media/image115.png"/><Relationship Id="rId178" Type="http://schemas.openxmlformats.org/officeDocument/2006/relationships/image" Target="media/image114.wmf"/><Relationship Id="rId177" Type="http://schemas.openxmlformats.org/officeDocument/2006/relationships/oleObject" Target="embeddings/oleObject58.bin"/><Relationship Id="rId176" Type="http://schemas.openxmlformats.org/officeDocument/2006/relationships/image" Target="media/image113.wmf"/><Relationship Id="rId175" Type="http://schemas.openxmlformats.org/officeDocument/2006/relationships/oleObject" Target="embeddings/oleObject57.bin"/><Relationship Id="rId174" Type="http://schemas.openxmlformats.org/officeDocument/2006/relationships/image" Target="media/image112.png"/><Relationship Id="rId173" Type="http://schemas.openxmlformats.org/officeDocument/2006/relationships/image" Target="media/image111.wmf"/><Relationship Id="rId172" Type="http://schemas.openxmlformats.org/officeDocument/2006/relationships/oleObject" Target="embeddings/oleObject56.bin"/><Relationship Id="rId171" Type="http://schemas.openxmlformats.org/officeDocument/2006/relationships/image" Target="media/image110.png"/><Relationship Id="rId170" Type="http://schemas.openxmlformats.org/officeDocument/2006/relationships/image" Target="media/image109.wmf"/><Relationship Id="rId17" Type="http://schemas.openxmlformats.org/officeDocument/2006/relationships/image" Target="media/image11.png"/><Relationship Id="rId169" Type="http://schemas.openxmlformats.org/officeDocument/2006/relationships/oleObject" Target="embeddings/oleObject55.bin"/><Relationship Id="rId168" Type="http://schemas.openxmlformats.org/officeDocument/2006/relationships/image" Target="media/image108.png"/><Relationship Id="rId167" Type="http://schemas.openxmlformats.org/officeDocument/2006/relationships/image" Target="media/image107.wmf"/><Relationship Id="rId166" Type="http://schemas.openxmlformats.org/officeDocument/2006/relationships/oleObject" Target="embeddings/oleObject54.bin"/><Relationship Id="rId165" Type="http://schemas.openxmlformats.org/officeDocument/2006/relationships/image" Target="media/image106.png"/><Relationship Id="rId164" Type="http://schemas.openxmlformats.org/officeDocument/2006/relationships/image" Target="media/image105.wmf"/><Relationship Id="rId163" Type="http://schemas.openxmlformats.org/officeDocument/2006/relationships/oleObject" Target="embeddings/oleObject53.bin"/><Relationship Id="rId162" Type="http://schemas.openxmlformats.org/officeDocument/2006/relationships/image" Target="media/image104.png"/><Relationship Id="rId161" Type="http://schemas.openxmlformats.org/officeDocument/2006/relationships/image" Target="media/image103.wmf"/><Relationship Id="rId160" Type="http://schemas.openxmlformats.org/officeDocument/2006/relationships/oleObject" Target="embeddings/oleObject52.bin"/><Relationship Id="rId16" Type="http://schemas.openxmlformats.org/officeDocument/2006/relationships/image" Target="media/image10.emf"/><Relationship Id="rId159" Type="http://schemas.openxmlformats.org/officeDocument/2006/relationships/oleObject" Target="embeddings/oleObject51.bin"/><Relationship Id="rId158" Type="http://schemas.openxmlformats.org/officeDocument/2006/relationships/oleObject" Target="embeddings/oleObject50.bin"/><Relationship Id="rId157" Type="http://schemas.openxmlformats.org/officeDocument/2006/relationships/image" Target="media/image102.wmf"/><Relationship Id="rId156" Type="http://schemas.openxmlformats.org/officeDocument/2006/relationships/image" Target="media/image101.wmf"/><Relationship Id="rId155" Type="http://schemas.openxmlformats.org/officeDocument/2006/relationships/oleObject" Target="embeddings/oleObject49.bin"/><Relationship Id="rId154" Type="http://schemas.openxmlformats.org/officeDocument/2006/relationships/image" Target="media/image100.png"/><Relationship Id="rId153" Type="http://schemas.openxmlformats.org/officeDocument/2006/relationships/oleObject" Target="embeddings/oleObject48.bin"/><Relationship Id="rId152" Type="http://schemas.openxmlformats.org/officeDocument/2006/relationships/image" Target="media/image99.wmf"/><Relationship Id="rId151" Type="http://schemas.openxmlformats.org/officeDocument/2006/relationships/oleObject" Target="embeddings/oleObject47.bin"/><Relationship Id="rId150" Type="http://schemas.openxmlformats.org/officeDocument/2006/relationships/image" Target="media/image98.png"/><Relationship Id="rId15" Type="http://schemas.openxmlformats.org/officeDocument/2006/relationships/image" Target="media/image9.png"/><Relationship Id="rId149" Type="http://schemas.openxmlformats.org/officeDocument/2006/relationships/image" Target="media/image97.wmf"/><Relationship Id="rId148" Type="http://schemas.openxmlformats.org/officeDocument/2006/relationships/oleObject" Target="embeddings/oleObject46.bin"/><Relationship Id="rId147" Type="http://schemas.openxmlformats.org/officeDocument/2006/relationships/image" Target="media/image96.png"/><Relationship Id="rId146" Type="http://schemas.openxmlformats.org/officeDocument/2006/relationships/image" Target="media/image95.wmf"/><Relationship Id="rId145" Type="http://schemas.openxmlformats.org/officeDocument/2006/relationships/oleObject" Target="embeddings/oleObject45.bin"/><Relationship Id="rId144" Type="http://schemas.openxmlformats.org/officeDocument/2006/relationships/image" Target="media/image94.wmf"/><Relationship Id="rId143" Type="http://schemas.openxmlformats.org/officeDocument/2006/relationships/oleObject" Target="embeddings/oleObject44.bin"/><Relationship Id="rId142" Type="http://schemas.openxmlformats.org/officeDocument/2006/relationships/image" Target="media/image93.wmf"/><Relationship Id="rId141" Type="http://schemas.openxmlformats.org/officeDocument/2006/relationships/oleObject" Target="embeddings/oleObject43.bin"/><Relationship Id="rId140" Type="http://schemas.openxmlformats.org/officeDocument/2006/relationships/image" Target="media/image92.png"/><Relationship Id="rId14" Type="http://schemas.openxmlformats.org/officeDocument/2006/relationships/image" Target="media/image8.png"/><Relationship Id="rId139" Type="http://schemas.openxmlformats.org/officeDocument/2006/relationships/image" Target="media/image91.wmf"/><Relationship Id="rId138" Type="http://schemas.openxmlformats.org/officeDocument/2006/relationships/oleObject" Target="embeddings/oleObject42.bin"/><Relationship Id="rId137" Type="http://schemas.openxmlformats.org/officeDocument/2006/relationships/image" Target="media/image90.png"/><Relationship Id="rId136" Type="http://schemas.openxmlformats.org/officeDocument/2006/relationships/image" Target="media/image89.wmf"/><Relationship Id="rId135" Type="http://schemas.openxmlformats.org/officeDocument/2006/relationships/oleObject" Target="embeddings/oleObject41.bin"/><Relationship Id="rId134" Type="http://schemas.openxmlformats.org/officeDocument/2006/relationships/image" Target="media/image88.png"/><Relationship Id="rId133" Type="http://schemas.openxmlformats.org/officeDocument/2006/relationships/image" Target="media/image87.wmf"/><Relationship Id="rId132" Type="http://schemas.openxmlformats.org/officeDocument/2006/relationships/oleObject" Target="embeddings/oleObject40.bin"/><Relationship Id="rId131" Type="http://schemas.openxmlformats.org/officeDocument/2006/relationships/image" Target="media/image86.png"/><Relationship Id="rId130" Type="http://schemas.openxmlformats.org/officeDocument/2006/relationships/image" Target="media/image85.wmf"/><Relationship Id="rId13" Type="http://schemas.openxmlformats.org/officeDocument/2006/relationships/image" Target="media/image7.emf"/><Relationship Id="rId129" Type="http://schemas.openxmlformats.org/officeDocument/2006/relationships/oleObject" Target="embeddings/oleObject39.bin"/><Relationship Id="rId128" Type="http://schemas.openxmlformats.org/officeDocument/2006/relationships/image" Target="media/image84.wmf"/><Relationship Id="rId127" Type="http://schemas.openxmlformats.org/officeDocument/2006/relationships/oleObject" Target="embeddings/oleObject38.bin"/><Relationship Id="rId126" Type="http://schemas.openxmlformats.org/officeDocument/2006/relationships/image" Target="media/image83.png"/><Relationship Id="rId125" Type="http://schemas.openxmlformats.org/officeDocument/2006/relationships/image" Target="media/image82.wmf"/><Relationship Id="rId124" Type="http://schemas.openxmlformats.org/officeDocument/2006/relationships/oleObject" Target="embeddings/oleObject37.bin"/><Relationship Id="rId123" Type="http://schemas.openxmlformats.org/officeDocument/2006/relationships/image" Target="media/image81.png"/><Relationship Id="rId122" Type="http://schemas.openxmlformats.org/officeDocument/2006/relationships/image" Target="media/image80.wmf"/><Relationship Id="rId121" Type="http://schemas.openxmlformats.org/officeDocument/2006/relationships/oleObject" Target="embeddings/oleObject36.bin"/><Relationship Id="rId120" Type="http://schemas.openxmlformats.org/officeDocument/2006/relationships/image" Target="media/image79.png"/><Relationship Id="rId12" Type="http://schemas.openxmlformats.org/officeDocument/2006/relationships/image" Target="media/image6.emf"/><Relationship Id="rId119" Type="http://schemas.openxmlformats.org/officeDocument/2006/relationships/oleObject" Target="embeddings/oleObject35.bin"/><Relationship Id="rId118" Type="http://schemas.openxmlformats.org/officeDocument/2006/relationships/oleObject" Target="embeddings/oleObject34.bin"/><Relationship Id="rId117" Type="http://schemas.openxmlformats.org/officeDocument/2006/relationships/image" Target="media/image78.wmf"/><Relationship Id="rId116" Type="http://schemas.openxmlformats.org/officeDocument/2006/relationships/oleObject" Target="embeddings/oleObject33.bin"/><Relationship Id="rId115" Type="http://schemas.openxmlformats.org/officeDocument/2006/relationships/image" Target="media/image77.wmf"/><Relationship Id="rId114" Type="http://schemas.openxmlformats.org/officeDocument/2006/relationships/oleObject" Target="embeddings/oleObject32.bin"/><Relationship Id="rId113" Type="http://schemas.openxmlformats.org/officeDocument/2006/relationships/image" Target="media/image76.wmf"/><Relationship Id="rId112" Type="http://schemas.openxmlformats.org/officeDocument/2006/relationships/oleObject" Target="embeddings/oleObject31.bin"/><Relationship Id="rId111" Type="http://schemas.openxmlformats.org/officeDocument/2006/relationships/image" Target="media/image75.wmf"/><Relationship Id="rId110" Type="http://schemas.openxmlformats.org/officeDocument/2006/relationships/oleObject" Target="embeddings/oleObject30.bin"/><Relationship Id="rId11" Type="http://schemas.openxmlformats.org/officeDocument/2006/relationships/image" Target="media/image5.jpeg"/><Relationship Id="rId109" Type="http://schemas.openxmlformats.org/officeDocument/2006/relationships/oleObject" Target="embeddings/oleObject29.bin"/><Relationship Id="rId108" Type="http://schemas.openxmlformats.org/officeDocument/2006/relationships/image" Target="media/image74.wmf"/><Relationship Id="rId107" Type="http://schemas.openxmlformats.org/officeDocument/2006/relationships/oleObject" Target="embeddings/oleObject28.bin"/><Relationship Id="rId106" Type="http://schemas.openxmlformats.org/officeDocument/2006/relationships/oleObject" Target="embeddings/oleObject27.bin"/><Relationship Id="rId105" Type="http://schemas.openxmlformats.org/officeDocument/2006/relationships/image" Target="media/image73.wmf"/><Relationship Id="rId104" Type="http://schemas.openxmlformats.org/officeDocument/2006/relationships/oleObject" Target="embeddings/oleObject26.bin"/><Relationship Id="rId103" Type="http://schemas.openxmlformats.org/officeDocument/2006/relationships/image" Target="media/image72.wmf"/><Relationship Id="rId102" Type="http://schemas.openxmlformats.org/officeDocument/2006/relationships/oleObject" Target="embeddings/oleObject25.bin"/><Relationship Id="rId101" Type="http://schemas.openxmlformats.org/officeDocument/2006/relationships/image" Target="media/image71.wmf"/><Relationship Id="rId100" Type="http://schemas.openxmlformats.org/officeDocument/2006/relationships/oleObject" Target="embeddings/oleObject24.bin"/><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2362;&#26524;&#20113;\&#25105;&#30340;&#22362;&#26524;&#20113;\2025\&#24490;&#29615;&#39564;&#35777;\QY2569-42\QY2569-42&#25968;&#2545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0572368421052632"/>
                  <c:y val="-0.0243055555555556"/>
                </c:manualLayout>
              </c:layout>
              <c:numFmt formatCode="General" sourceLinked="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'[QY2569-42数据统计.xlsx]Sheet4'!$B$67:$B$71</c:f>
              <c:numCache>
                <c:formatCode>General</c:formatCode>
                <c:ptCount val="5"/>
                <c:pt idx="0">
                  <c:v>5.07</c:v>
                </c:pt>
                <c:pt idx="1">
                  <c:v>3.067</c:v>
                </c:pt>
                <c:pt idx="2">
                  <c:v>0.955</c:v>
                </c:pt>
                <c:pt idx="3">
                  <c:v>0.544</c:v>
                </c:pt>
                <c:pt idx="4">
                  <c:v>0.107</c:v>
                </c:pt>
              </c:numCache>
            </c:numRef>
          </c:xVal>
          <c:yVal>
            <c:numRef>
              <c:f>'[QY2569-42数据统计.xlsx]Sheet4'!$C$67:$C$71</c:f>
              <c:numCache>
                <c:formatCode>General</c:formatCode>
                <c:ptCount val="5"/>
                <c:pt idx="0">
                  <c:v>0.471705576385991</c:v>
                </c:pt>
                <c:pt idx="1">
                  <c:v>0.298307394456288</c:v>
                </c:pt>
                <c:pt idx="2">
                  <c:v>0.0907060051213771</c:v>
                </c:pt>
                <c:pt idx="3">
                  <c:v>0.0486952786081999</c:v>
                </c:pt>
                <c:pt idx="4">
                  <c:v>0.00823352933382816</c:v>
                </c:pt>
              </c:numCache>
            </c:numRef>
          </c:yVal>
          <c:smooth val="0"/>
        </c:ser>
        <c:dLbls>
          <c:showLegendKey val="0"/>
          <c:showVal val="0"/>
          <c:showCatName val="0"/>
          <c:showSerName val="0"/>
          <c:showPercent val="0"/>
          <c:showBubbleSize val="0"/>
        </c:dLbls>
        <c:axId val="611592419"/>
        <c:axId val="119724921"/>
      </c:scatterChart>
      <c:valAx>
        <c:axId val="611592419"/>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检测数据平均值</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724921"/>
        <c:crosses val="autoZero"/>
        <c:crossBetween val="midCat"/>
      </c:valAx>
      <c:valAx>
        <c:axId val="119724921"/>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再现性标准差</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1592419"/>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c54dd7f1-8e43-4944-9a72-cf3fd54d64c5}"/>
      </c:ext>
    </c:extLst>
  </c:chart>
  <c:spPr>
    <a:solidFill>
      <a:schemeClr val="bg1"/>
    </a:solidFill>
    <a:ln w="9525" cap="flat" cmpd="sng" algn="ctr">
      <a:solidFill>
        <a:schemeClr val="tx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1412</Words>
  <Characters>1572</Characters>
  <Lines>391</Lines>
  <Paragraphs>110</Paragraphs>
  <TotalTime>0</TotalTime>
  <ScaleCrop>false</ScaleCrop>
  <LinksUpToDate>false</LinksUpToDate>
  <CharactersWithSpaces>1652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2024-05-29T03:27:00Z</dcterms:created>
  <dc:creator>董美</dc:creator>
  <cp:lastModifiedBy>董美</cp:lastModifiedBy>
  <cp:lastPrinted>2024-05-21T02:06:00Z</cp:lastPrinted>
  <dcterms:modified xsi:type="dcterms:W3CDTF">2026-06-03T07:00:47Z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720936616F34409CBCD8768DF1719F1B_13</vt:lpwstr>
  </property>
  <property fmtid="{D5CDD505-2E9C-101B-9397-08002B2CF9AE}" pid="4" name="KSOTemplateDocerSaveRecord">
    <vt:lpwstr>eyJoZGlkIjoiM2QyZTllMzViMzAzMDUzMjZkNzMzMTlmY2ZhYWZjOTQiLCJ1c2VySWQiOiI0NTM0ODgxMTcifQ==</vt:lpwstr>
  </property>
</Properties>
</file>